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BBD" w:rsidRPr="00F01F39" w:rsidRDefault="00B41BBD"/>
    <w:p w:rsidR="00D2200F" w:rsidRPr="00F01F39" w:rsidRDefault="00D2200F"/>
    <w:p w:rsidR="00D2200F" w:rsidRPr="00F01F39" w:rsidRDefault="00F8688E" w:rsidP="00F8688E">
      <w:pPr>
        <w:tabs>
          <w:tab w:val="left" w:pos="6624"/>
        </w:tabs>
      </w:pPr>
      <w:r w:rsidRPr="00F01F39">
        <w:tab/>
      </w:r>
    </w:p>
    <w:p w:rsidR="00B41BBD" w:rsidRPr="00F01F39" w:rsidRDefault="00B41BBD"/>
    <w:p w:rsidR="00B41BBD" w:rsidRPr="00F01F39" w:rsidRDefault="00B41BBD"/>
    <w:p w:rsidR="00B41BBD" w:rsidRPr="00F01F39" w:rsidRDefault="00B41BBD"/>
    <w:p w:rsidR="00B41BBD" w:rsidRPr="00F01F39" w:rsidRDefault="00B41BBD"/>
    <w:p w:rsidR="00B41BBD" w:rsidRPr="00F01F39" w:rsidRDefault="00B41BBD"/>
    <w:p w:rsidR="00B41BBD" w:rsidRPr="00F01F39" w:rsidRDefault="00B41BBD"/>
    <w:p w:rsidR="00B41BBD" w:rsidRPr="00F01F39" w:rsidRDefault="00B41BBD"/>
    <w:p w:rsidR="00B41BBD" w:rsidRPr="00F01F39" w:rsidRDefault="00B41BBD"/>
    <w:p w:rsidR="00B41BBD" w:rsidRPr="00F01F39" w:rsidRDefault="00B41BBD"/>
    <w:p w:rsidR="00B41BBD" w:rsidRPr="00F01F39" w:rsidRDefault="00B41BBD" w:rsidP="00B41BBD">
      <w:pPr>
        <w:tabs>
          <w:tab w:val="left" w:pos="7500"/>
        </w:tabs>
      </w:pPr>
    </w:p>
    <w:p w:rsidR="00B41BBD" w:rsidRPr="00F01F39" w:rsidRDefault="00B41BBD" w:rsidP="00B41BBD">
      <w:pPr>
        <w:tabs>
          <w:tab w:val="left" w:pos="7500"/>
        </w:tabs>
      </w:pPr>
    </w:p>
    <w:p w:rsidR="00B41BBD" w:rsidRPr="00F01F39" w:rsidRDefault="00B41BBD" w:rsidP="00B41BBD">
      <w:pPr>
        <w:tabs>
          <w:tab w:val="left" w:pos="7500"/>
        </w:tabs>
      </w:pPr>
    </w:p>
    <w:p w:rsidR="00B41BBD" w:rsidRPr="00F01F39" w:rsidRDefault="00B41BBD" w:rsidP="00B41BBD">
      <w:pPr>
        <w:tabs>
          <w:tab w:val="left" w:pos="7500"/>
        </w:tabs>
      </w:pPr>
    </w:p>
    <w:p w:rsidR="00B41BBD" w:rsidRPr="00F01F39" w:rsidRDefault="00B41BBD" w:rsidP="00B41BBD">
      <w:pPr>
        <w:tabs>
          <w:tab w:val="left" w:pos="7500"/>
        </w:tabs>
      </w:pPr>
    </w:p>
    <w:p w:rsidR="00B41BBD" w:rsidRPr="00F01F39" w:rsidRDefault="00B41BBD" w:rsidP="00B41BBD">
      <w:pPr>
        <w:tabs>
          <w:tab w:val="left" w:pos="7500"/>
        </w:tabs>
      </w:pPr>
    </w:p>
    <w:p w:rsidR="000C6B6F" w:rsidRPr="00F01F39" w:rsidRDefault="00FA55B1" w:rsidP="000C6B6F">
      <w:pPr>
        <w:jc w:val="center"/>
        <w:rPr>
          <w:b/>
          <w:color w:val="FFFFFF"/>
          <w:sz w:val="40"/>
          <w:szCs w:val="36"/>
        </w:rPr>
      </w:pPr>
      <w:r w:rsidRPr="00F01F39">
        <w:rPr>
          <w:b/>
          <w:color w:val="FFFFFF"/>
          <w:sz w:val="40"/>
          <w:szCs w:val="36"/>
        </w:rPr>
        <w:t>Study on Aggressive Tax Planning</w:t>
      </w:r>
    </w:p>
    <w:p w:rsidR="000C6B6F" w:rsidRPr="00F01F39" w:rsidRDefault="000C6B6F" w:rsidP="000C6B6F">
      <w:pPr>
        <w:jc w:val="center"/>
        <w:rPr>
          <w:b/>
          <w:color w:val="FFFFFF"/>
          <w:sz w:val="40"/>
          <w:szCs w:val="36"/>
        </w:rPr>
      </w:pPr>
    </w:p>
    <w:p w:rsidR="000C6B6F" w:rsidRPr="00F01F39" w:rsidRDefault="000C6B6F" w:rsidP="000C6B6F">
      <w:pPr>
        <w:jc w:val="center"/>
      </w:pPr>
    </w:p>
    <w:p w:rsidR="000C6B6F" w:rsidRPr="00F01F39" w:rsidRDefault="00FA55B1" w:rsidP="00FA55B1">
      <w:pPr>
        <w:jc w:val="center"/>
      </w:pPr>
      <w:r w:rsidRPr="00F01F39">
        <w:rPr>
          <w:i/>
          <w:color w:val="FFFFFF"/>
          <w:sz w:val="36"/>
          <w:szCs w:val="36"/>
        </w:rPr>
        <w:t>Specific contract No13 under FWC TAXUD/2012/CC116</w:t>
      </w:r>
    </w:p>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FA55B1" w:rsidP="000C6B6F">
      <w:pPr>
        <w:jc w:val="center"/>
        <w:rPr>
          <w:b/>
          <w:color w:val="FFFFFF"/>
          <w:sz w:val="28"/>
        </w:rPr>
      </w:pPr>
      <w:r w:rsidRPr="00F01F39">
        <w:rPr>
          <w:b/>
          <w:color w:val="FFFFFF"/>
          <w:sz w:val="28"/>
        </w:rPr>
        <w:t xml:space="preserve">Appendix </w:t>
      </w:r>
      <w:r w:rsidR="007473BE" w:rsidRPr="00F01F39">
        <w:rPr>
          <w:b/>
          <w:color w:val="FFFFFF"/>
          <w:sz w:val="28"/>
        </w:rPr>
        <w:t>1</w:t>
      </w:r>
      <w:r w:rsidRPr="00F01F39">
        <w:rPr>
          <w:b/>
          <w:color w:val="FFFFFF"/>
          <w:sz w:val="28"/>
        </w:rPr>
        <w:t xml:space="preserve"> - </w:t>
      </w:r>
      <w:r w:rsidR="00547990" w:rsidRPr="00F01F39">
        <w:rPr>
          <w:b/>
          <w:color w:val="FFFFFF"/>
          <w:sz w:val="28"/>
        </w:rPr>
        <w:t xml:space="preserve">Questionnaire to </w:t>
      </w:r>
      <w:r w:rsidRPr="00F01F39">
        <w:rPr>
          <w:b/>
          <w:color w:val="FFFFFF"/>
          <w:sz w:val="28"/>
        </w:rPr>
        <w:t xml:space="preserve">national </w:t>
      </w:r>
      <w:r w:rsidR="000B6327" w:rsidRPr="00F01F39">
        <w:rPr>
          <w:b/>
          <w:color w:val="FFFFFF"/>
          <w:sz w:val="28"/>
        </w:rPr>
        <w:t xml:space="preserve">tax </w:t>
      </w:r>
      <w:r w:rsidRPr="00F01F39">
        <w:rPr>
          <w:b/>
          <w:color w:val="FFFFFF"/>
          <w:sz w:val="28"/>
        </w:rPr>
        <w:t>experts</w:t>
      </w:r>
    </w:p>
    <w:p w:rsidR="00A06EB3" w:rsidRPr="00F01F39" w:rsidRDefault="00A06EB3" w:rsidP="000C6B6F">
      <w:pPr>
        <w:jc w:val="center"/>
        <w:rPr>
          <w:b/>
          <w:color w:val="FFFFFF"/>
          <w:sz w:val="28"/>
        </w:rPr>
      </w:pPr>
      <w:r w:rsidRPr="00F01F39">
        <w:rPr>
          <w:b/>
          <w:color w:val="FFFFFF"/>
          <w:sz w:val="28"/>
        </w:rPr>
        <w:t xml:space="preserve">Filled in for </w:t>
      </w:r>
      <w:r w:rsidR="00645D9D" w:rsidRPr="00F01F39">
        <w:rPr>
          <w:b/>
          <w:color w:val="FFFFFF"/>
          <w:sz w:val="28"/>
        </w:rPr>
        <w:t>Slovak Republic</w:t>
      </w:r>
    </w:p>
    <w:p w:rsidR="000C6B6F" w:rsidRPr="00F01F39" w:rsidRDefault="00645D9D" w:rsidP="000C6B6F">
      <w:r w:rsidRPr="00F01F39">
        <w:rPr>
          <w:noProof/>
          <w:lang w:eastAsia="en-US"/>
        </w:rPr>
        <w:drawing>
          <wp:anchor distT="0" distB="0" distL="114300" distR="114300" simplePos="0" relativeHeight="251660288" behindDoc="1" locked="0" layoutInCell="1" allowOverlap="1" wp14:anchorId="30E0199A" wp14:editId="2042FCA4">
            <wp:simplePos x="0" y="0"/>
            <wp:positionH relativeFrom="column">
              <wp:posOffset>2110740</wp:posOffset>
            </wp:positionH>
            <wp:positionV relativeFrom="paragraph">
              <wp:posOffset>144145</wp:posOffset>
            </wp:positionV>
            <wp:extent cx="1287780" cy="855980"/>
            <wp:effectExtent l="0" t="0" r="7620" b="1270"/>
            <wp:wrapTight wrapText="bothSides">
              <wp:wrapPolygon edited="0">
                <wp:start x="0" y="0"/>
                <wp:lineTo x="0" y="21151"/>
                <wp:lineTo x="21408" y="21151"/>
                <wp:lineTo x="21408" y="0"/>
                <wp:lineTo x="0" y="0"/>
              </wp:wrapPolygon>
            </wp:wrapTight>
            <wp:docPr id="25" name="Billed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7780" cy="855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0C6B6F" w:rsidP="000C6B6F"/>
    <w:p w:rsidR="000C6B6F" w:rsidRPr="00F01F39" w:rsidRDefault="002A0F98" w:rsidP="000C6B6F">
      <w:r w:rsidRPr="00F01F39">
        <w:rPr>
          <w:noProof/>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rsidR="000C6B6F" w:rsidRPr="00F01F39" w:rsidRDefault="000C6B6F" w:rsidP="000C6B6F"/>
    <w:p w:rsidR="000C6B6F" w:rsidRPr="00F01F39" w:rsidRDefault="000C6B6F" w:rsidP="000C6B6F"/>
    <w:p w:rsidR="00B41BBD" w:rsidRPr="00F01F39" w:rsidRDefault="00B41BBD" w:rsidP="00B41BBD">
      <w:pPr>
        <w:tabs>
          <w:tab w:val="left" w:pos="7500"/>
        </w:tabs>
        <w:rPr>
          <w:b/>
        </w:rPr>
      </w:pPr>
    </w:p>
    <w:p w:rsidR="00547990" w:rsidRPr="00F01F39" w:rsidRDefault="00D67218" w:rsidP="00547990">
      <w:pPr>
        <w:pBdr>
          <w:bottom w:val="single" w:sz="4" w:space="1" w:color="1F497D"/>
        </w:pBdr>
        <w:rPr>
          <w:b/>
          <w:color w:val="1F497D"/>
        </w:rPr>
      </w:pPr>
      <w:r w:rsidRPr="00F01F39">
        <w:rPr>
          <w:noProof/>
          <w:lang w:eastAsia="en-US"/>
        </w:rPr>
        <w:drawing>
          <wp:anchor distT="0" distB="0" distL="114300" distR="114300" simplePos="0" relativeHeight="251659264" behindDoc="0" locked="0" layoutInCell="1" allowOverlap="1" wp14:anchorId="7AE2A0E5" wp14:editId="63437789">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F01F39">
        <w:rPr>
          <w:b/>
          <w:color w:val="1F497D"/>
        </w:rPr>
        <w:br w:type="page"/>
      </w:r>
      <w:r w:rsidR="00F4731C" w:rsidRPr="00F01F39">
        <w:rPr>
          <w:b/>
          <w:color w:val="1F497D"/>
        </w:rPr>
        <w:lastRenderedPageBreak/>
        <w:t>QUESTIONNAIRE</w:t>
      </w:r>
    </w:p>
    <w:p w:rsidR="00547990" w:rsidRPr="00F01F39" w:rsidRDefault="00547990" w:rsidP="00547990"/>
    <w:p w:rsidR="00A06EB3" w:rsidRPr="00F01F39" w:rsidRDefault="00645D9D" w:rsidP="00A06EB3">
      <w:pPr>
        <w:pBdr>
          <w:bottom w:val="single" w:sz="4" w:space="1" w:color="1F497D"/>
        </w:pBdr>
        <w:rPr>
          <w:b/>
          <w:color w:val="1F497D"/>
        </w:rPr>
      </w:pPr>
      <w:r w:rsidRPr="00F01F39">
        <w:rPr>
          <w:b/>
          <w:color w:val="1F497D"/>
        </w:rPr>
        <w:t>Slovak Republic</w:t>
      </w:r>
    </w:p>
    <w:p w:rsidR="00A06EB3" w:rsidRPr="00F01F39" w:rsidRDefault="00A06EB3" w:rsidP="00A06EB3">
      <w:pPr>
        <w:pStyle w:val="Heading2"/>
      </w:pPr>
      <w:r w:rsidRPr="00F01F39">
        <w:t>Abbreviations</w:t>
      </w:r>
    </w:p>
    <w:p w:rsidR="006D0B10" w:rsidRPr="00F01F39" w:rsidRDefault="000D5E5D" w:rsidP="00A06EB3">
      <w:pPr>
        <w:rPr>
          <w:b/>
        </w:rPr>
      </w:pPr>
      <w:r w:rsidRPr="00F01F39">
        <w:rPr>
          <w:b/>
        </w:rPr>
        <w:t>SITA – Slovak Income Tax Act (zákon č. 595/2003 Z.z. o dani z príjmov)</w:t>
      </w:r>
    </w:p>
    <w:p w:rsidR="00A06EB3" w:rsidRPr="00F01F39" w:rsidRDefault="006D0B10" w:rsidP="00A06EB3">
      <w:pPr>
        <w:rPr>
          <w:b/>
        </w:rPr>
      </w:pPr>
      <w:r w:rsidRPr="00F01F39">
        <w:rPr>
          <w:b/>
        </w:rPr>
        <w:t>ATA – Act on Tax Administration (zákon č. 563/2009 Z.z. Daňový poriadok)</w:t>
      </w:r>
    </w:p>
    <w:p w:rsidR="0050164C" w:rsidRPr="00F01F39" w:rsidRDefault="0050164C" w:rsidP="00A06EB3">
      <w:pPr>
        <w:rPr>
          <w:b/>
        </w:rPr>
      </w:pPr>
      <w:r w:rsidRPr="00F01F39">
        <w:rPr>
          <w:b/>
        </w:rPr>
        <w:t>Local GAAP – Local Generally accepted accounting procedures (Measure of the Ministry of Finance of the Slovak Republic No 23054/2002-92 of 16 December 2002 laying down the details of accounting procedures and a framework chart of accounts for entrepreneurs keeping double-entry accounting)</w:t>
      </w:r>
    </w:p>
    <w:p w:rsidR="00A06EB3" w:rsidRPr="00F01F39" w:rsidRDefault="00A06EB3" w:rsidP="00547990"/>
    <w:p w:rsidR="00A06EB3" w:rsidRPr="00F01F39" w:rsidRDefault="00A06EB3" w:rsidP="00547990"/>
    <w:p w:rsidR="00A06EB3" w:rsidRPr="00F01F39"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F01F39"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rsidR="0097352D" w:rsidRPr="00F01F39" w:rsidRDefault="0097352D" w:rsidP="00F8230D">
            <w:pPr>
              <w:rPr>
                <w:color w:val="FFFFFF" w:themeColor="background1"/>
                <w:lang w:val="en-GB"/>
              </w:rPr>
            </w:pPr>
            <w:r w:rsidRPr="00F01F39">
              <w:rPr>
                <w:color w:val="FFFFFF" w:themeColor="background1"/>
                <w:lang w:val="en-GB"/>
              </w:rPr>
              <w:t>Questions</w:t>
            </w:r>
          </w:p>
        </w:tc>
        <w:tc>
          <w:tcPr>
            <w:tcW w:w="3933" w:type="dxa"/>
            <w:tcBorders>
              <w:bottom w:val="single" w:sz="8" w:space="0" w:color="A7D3F5"/>
            </w:tcBorders>
            <w:shd w:val="clear" w:color="auto" w:fill="1F497D" w:themeFill="text2"/>
          </w:tcPr>
          <w:p w:rsidR="0097352D" w:rsidRPr="00F01F39"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F01F39">
              <w:rPr>
                <w:color w:val="FFFFFF" w:themeColor="background1"/>
                <w:lang w:val="en-GB"/>
              </w:rPr>
              <w:t>Answers</w:t>
            </w:r>
          </w:p>
        </w:tc>
      </w:tr>
      <w:tr w:rsidR="0097352D" w:rsidRPr="00F01F39"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F01F39" w:rsidRDefault="0097352D" w:rsidP="00F8230D">
            <w:pPr>
              <w:rPr>
                <w:lang w:val="en-GB"/>
              </w:rPr>
            </w:pPr>
            <w:r w:rsidRPr="00F01F39">
              <w:rPr>
                <w:i/>
                <w:sz w:val="16"/>
                <w:szCs w:val="16"/>
                <w:lang w:val="en-GB"/>
              </w:rPr>
              <w:t>Corporate tax rate</w:t>
            </w:r>
          </w:p>
        </w:tc>
      </w:tr>
      <w:tr w:rsidR="0026298E"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26298E" w:rsidRPr="00F01F39" w:rsidRDefault="0026298E" w:rsidP="0026298E">
            <w:pPr>
              <w:pStyle w:val="ListNumber"/>
              <w:tabs>
                <w:tab w:val="clear" w:pos="284"/>
              </w:tabs>
              <w:ind w:left="340" w:hanging="340"/>
              <w:jc w:val="left"/>
              <w:rPr>
                <w:b w:val="0"/>
                <w:color w:val="auto"/>
                <w:lang w:val="en-GB"/>
              </w:rPr>
            </w:pPr>
            <w:r w:rsidRPr="00F01F39">
              <w:rPr>
                <w:b w:val="0"/>
                <w:color w:val="auto"/>
                <w:sz w:val="16"/>
                <w:szCs w:val="16"/>
                <w:lang w:val="en-GB"/>
              </w:rPr>
              <w:t>What is the standard rate of corporate income tax applicable for the fiscal year 2015?</w:t>
            </w:r>
          </w:p>
        </w:tc>
        <w:tc>
          <w:tcPr>
            <w:tcW w:w="3933" w:type="dxa"/>
          </w:tcPr>
          <w:p w:rsidR="00645D9D" w:rsidRPr="00F01F39" w:rsidRDefault="00645D9D" w:rsidP="00645D9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22%.</w:t>
            </w:r>
          </w:p>
          <w:p w:rsidR="0026298E" w:rsidRPr="00F01F39"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83DFA" w:rsidRPr="00F01F39" w:rsidRDefault="00983DFA" w:rsidP="00427661">
            <w:pPr>
              <w:pStyle w:val="ListNumber"/>
              <w:tabs>
                <w:tab w:val="clear" w:pos="284"/>
              </w:tabs>
              <w:ind w:left="340" w:hanging="340"/>
              <w:jc w:val="left"/>
              <w:rPr>
                <w:b w:val="0"/>
                <w:color w:val="auto"/>
                <w:lang w:val="en-GB"/>
              </w:rPr>
            </w:pPr>
            <w:r w:rsidRPr="00F01F39">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rsidR="0097352D" w:rsidRPr="00F01F39" w:rsidRDefault="000D5E5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No. </w:t>
            </w:r>
          </w:p>
        </w:tc>
      </w:tr>
      <w:tr w:rsidR="0097352D" w:rsidRPr="00F01F39"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F01F39" w:rsidRDefault="0097352D" w:rsidP="00427661">
            <w:pPr>
              <w:rPr>
                <w:color w:val="auto"/>
                <w:lang w:val="en-GB"/>
              </w:rPr>
            </w:pPr>
            <w:r w:rsidRPr="00F01F39">
              <w:rPr>
                <w:i/>
                <w:color w:val="auto"/>
                <w:sz w:val="16"/>
                <w:szCs w:val="16"/>
                <w:lang w:val="en-GB"/>
              </w:rPr>
              <w:t>Dividends received</w:t>
            </w: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Number"/>
              <w:tabs>
                <w:tab w:val="clear" w:pos="284"/>
              </w:tabs>
              <w:ind w:left="340" w:hanging="340"/>
              <w:jc w:val="left"/>
              <w:rPr>
                <w:b w:val="0"/>
                <w:color w:val="auto"/>
                <w:sz w:val="16"/>
                <w:szCs w:val="16"/>
                <w:lang w:val="en-GB"/>
              </w:rPr>
            </w:pPr>
            <w:r w:rsidRPr="00F01F39">
              <w:rPr>
                <w:b w:val="0"/>
                <w:color w:val="auto"/>
                <w:sz w:val="16"/>
                <w:szCs w:val="16"/>
                <w:lang w:val="en-GB"/>
              </w:rPr>
              <w:t>Is it possible for a company in your MS to receive dividends from a foreign company free of tax (or at a greatly reduced rate of tax</w:t>
            </w:r>
            <w:r w:rsidR="00A30052" w:rsidRPr="00F01F39">
              <w:rPr>
                <w:b w:val="0"/>
                <w:color w:val="auto"/>
                <w:sz w:val="16"/>
                <w:szCs w:val="16"/>
                <w:lang w:val="en-GB"/>
              </w:rPr>
              <w:t>, e.g. 95% tax-exemption</w:t>
            </w:r>
            <w:r w:rsidRPr="00F01F39">
              <w:rPr>
                <w:b w:val="0"/>
                <w:color w:val="auto"/>
                <w:sz w:val="16"/>
                <w:szCs w:val="16"/>
                <w:lang w:val="en-GB"/>
              </w:rPr>
              <w:t>)?</w:t>
            </w:r>
          </w:p>
        </w:tc>
        <w:tc>
          <w:tcPr>
            <w:tcW w:w="3933" w:type="dxa"/>
          </w:tcPr>
          <w:p w:rsidR="00645D9D" w:rsidRPr="00F01F39" w:rsidRDefault="00645D9D" w:rsidP="00645D9D">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Yes, dividends are </w:t>
            </w:r>
            <w:r w:rsidR="000D5E5D" w:rsidRPr="00F01F39">
              <w:rPr>
                <w:color w:val="auto"/>
                <w:sz w:val="16"/>
                <w:szCs w:val="16"/>
                <w:lang w:val="en-GB"/>
              </w:rPr>
              <w:t>not subject to tax</w:t>
            </w:r>
            <w:r w:rsidRPr="00F01F39">
              <w:rPr>
                <w:color w:val="auto"/>
                <w:sz w:val="16"/>
                <w:szCs w:val="16"/>
                <w:lang w:val="en-GB"/>
              </w:rPr>
              <w:t>.</w:t>
            </w:r>
          </w:p>
          <w:p w:rsidR="006D0B10" w:rsidRPr="00F01F39" w:rsidRDefault="00055A86" w:rsidP="006D0B1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w:t>
            </w:r>
            <w:r w:rsidR="000D5E5D" w:rsidRPr="00F01F39">
              <w:rPr>
                <w:color w:val="auto"/>
                <w:sz w:val="16"/>
                <w:szCs w:val="16"/>
                <w:lang w:val="en-GB"/>
              </w:rPr>
              <w:t xml:space="preserve"> 1</w:t>
            </w:r>
            <w:r w:rsidR="00293871" w:rsidRPr="00F01F39">
              <w:rPr>
                <w:color w:val="auto"/>
                <w:sz w:val="16"/>
                <w:szCs w:val="16"/>
                <w:lang w:val="en-GB"/>
              </w:rPr>
              <w:t>2</w:t>
            </w:r>
            <w:r w:rsidR="000D5E5D" w:rsidRPr="00F01F39">
              <w:rPr>
                <w:color w:val="auto"/>
                <w:sz w:val="16"/>
                <w:szCs w:val="16"/>
                <w:lang w:val="en-GB"/>
              </w:rPr>
              <w:t>(7)c SITA</w:t>
            </w:r>
            <w:r w:rsidRPr="00F01F39">
              <w:rPr>
                <w:color w:val="auto"/>
                <w:sz w:val="16"/>
                <w:szCs w:val="16"/>
                <w:lang w:val="en-GB"/>
              </w:rPr>
              <w:t xml:space="preserve"> (rules given in §3(2)c SITA)</w:t>
            </w:r>
            <w:r w:rsidR="000D5E5D" w:rsidRPr="00F01F39">
              <w:rPr>
                <w:color w:val="auto"/>
                <w:sz w:val="16"/>
                <w:szCs w:val="16"/>
                <w:lang w:val="en-GB"/>
              </w:rPr>
              <w:t>.</w:t>
            </w:r>
            <w:r w:rsidR="006D0B10" w:rsidRPr="00F01F39">
              <w:rPr>
                <w:color w:val="auto"/>
                <w:sz w:val="16"/>
                <w:szCs w:val="16"/>
                <w:lang w:val="en-GB"/>
              </w:rPr>
              <w:t xml:space="preserve"> </w:t>
            </w:r>
          </w:p>
          <w:p w:rsidR="006F537A" w:rsidRPr="00F01F39" w:rsidRDefault="006F537A" w:rsidP="006D0B10">
            <w:pPr>
              <w:cnfStyle w:val="000000100000" w:firstRow="0" w:lastRow="0" w:firstColumn="0" w:lastColumn="0" w:oddVBand="0" w:evenVBand="0" w:oddHBand="1" w:evenHBand="0" w:firstRowFirstColumn="0" w:firstRowLastColumn="0" w:lastRowFirstColumn="0" w:lastRowLastColumn="0"/>
              <w:rPr>
                <w:bCs/>
                <w:color w:val="auto"/>
                <w:sz w:val="16"/>
                <w:szCs w:val="16"/>
                <w:lang w:val="en-GB" w:eastAsia="da-DK"/>
              </w:rPr>
            </w:pPr>
            <w:r w:rsidRPr="00F01F39">
              <w:rPr>
                <w:bCs/>
                <w:color w:val="auto"/>
                <w:sz w:val="16"/>
                <w:szCs w:val="16"/>
                <w:lang w:val="en-GB" w:eastAsia="da-DK"/>
              </w:rPr>
              <w:t xml:space="preserve">Dividends are not subject to tax if paid </w:t>
            </w:r>
            <w:r w:rsidRPr="00F01F39">
              <w:rPr>
                <w:color w:val="auto"/>
                <w:sz w:val="16"/>
                <w:szCs w:val="16"/>
                <w:lang w:val="en-GB"/>
              </w:rPr>
              <w:t xml:space="preserve">from profit of </w:t>
            </w:r>
            <w:r w:rsidRPr="00F01F39">
              <w:rPr>
                <w:i/>
                <w:color w:val="auto"/>
                <w:sz w:val="16"/>
                <w:szCs w:val="16"/>
                <w:lang w:val="en-GB"/>
              </w:rPr>
              <w:t>company</w:t>
            </w:r>
            <w:r w:rsidR="006D0B10" w:rsidRPr="00F01F39">
              <w:rPr>
                <w:color w:val="auto"/>
                <w:sz w:val="16"/>
                <w:szCs w:val="16"/>
                <w:lang w:val="en-GB"/>
              </w:rPr>
              <w:t xml:space="preserve"> </w:t>
            </w:r>
            <w:r w:rsidR="008A4E83" w:rsidRPr="00F01F39">
              <w:rPr>
                <w:color w:val="auto"/>
                <w:sz w:val="16"/>
                <w:szCs w:val="16"/>
                <w:lang w:val="en-GB"/>
              </w:rPr>
              <w:t xml:space="preserve">or co-operative </w:t>
            </w:r>
            <w:r w:rsidR="006D0B10" w:rsidRPr="00F01F39">
              <w:rPr>
                <w:color w:val="auto"/>
                <w:sz w:val="16"/>
                <w:szCs w:val="16"/>
                <w:lang w:val="en-GB"/>
              </w:rPr>
              <w:t>which is to be distributed among persons with ownership interest in share capital or members of the statutory or supervisory bodies</w:t>
            </w:r>
            <w:r w:rsidRPr="00F01F39">
              <w:rPr>
                <w:bCs/>
                <w:color w:val="auto"/>
                <w:sz w:val="16"/>
                <w:szCs w:val="16"/>
                <w:lang w:val="en-GB" w:eastAsia="da-DK"/>
              </w:rPr>
              <w:t xml:space="preserve"> (</w:t>
            </w:r>
            <w:r w:rsidR="006D0B10" w:rsidRPr="00F01F39">
              <w:rPr>
                <w:bCs/>
                <w:i/>
                <w:color w:val="auto"/>
                <w:sz w:val="16"/>
                <w:szCs w:val="16"/>
                <w:lang w:val="en-GB" w:eastAsia="da-DK"/>
              </w:rPr>
              <w:t>companies</w:t>
            </w:r>
            <w:r w:rsidR="006D0B10" w:rsidRPr="00F01F39">
              <w:rPr>
                <w:bCs/>
                <w:color w:val="auto"/>
                <w:sz w:val="16"/>
                <w:szCs w:val="16"/>
                <w:lang w:val="en-GB" w:eastAsia="da-DK"/>
              </w:rPr>
              <w:t xml:space="preserve"> under </w:t>
            </w:r>
            <w:r w:rsidRPr="00F01F39">
              <w:rPr>
                <w:bCs/>
                <w:color w:val="auto"/>
                <w:sz w:val="16"/>
                <w:szCs w:val="16"/>
                <w:lang w:val="en-GB" w:eastAsia="da-DK"/>
              </w:rPr>
              <w:t>SK commercial law</w:t>
            </w:r>
            <w:r w:rsidR="006D0B10" w:rsidRPr="00F01F39">
              <w:rPr>
                <w:bCs/>
                <w:color w:val="auto"/>
                <w:sz w:val="16"/>
                <w:szCs w:val="16"/>
                <w:lang w:val="en-GB" w:eastAsia="da-DK"/>
              </w:rPr>
              <w:t xml:space="preserve"> are meant</w:t>
            </w:r>
            <w:r w:rsidRPr="00F01F39">
              <w:rPr>
                <w:bCs/>
                <w:color w:val="auto"/>
                <w:sz w:val="16"/>
                <w:szCs w:val="16"/>
                <w:lang w:val="en-GB" w:eastAsia="da-DK"/>
              </w:rPr>
              <w:t>, i.e. limited liability company, joint stock company, limited partnership</w:t>
            </w:r>
            <w:r w:rsidR="008A4E83" w:rsidRPr="00F01F39">
              <w:rPr>
                <w:bCs/>
                <w:color w:val="auto"/>
                <w:sz w:val="16"/>
                <w:szCs w:val="16"/>
                <w:lang w:val="en-GB" w:eastAsia="da-DK"/>
              </w:rPr>
              <w:t xml:space="preserve"> </w:t>
            </w:r>
            <w:r w:rsidR="00D172F2" w:rsidRPr="00F01F39">
              <w:rPr>
                <w:bCs/>
                <w:color w:val="auto"/>
                <w:sz w:val="16"/>
                <w:szCs w:val="16"/>
                <w:lang w:val="en-GB" w:eastAsia="da-DK"/>
              </w:rPr>
              <w:t>(we see it as non-transparent)</w:t>
            </w:r>
            <w:r w:rsidRPr="00F01F39">
              <w:rPr>
                <w:bCs/>
                <w:color w:val="auto"/>
                <w:sz w:val="16"/>
                <w:szCs w:val="16"/>
                <w:lang w:val="en-GB" w:eastAsia="da-DK"/>
              </w:rPr>
              <w:t xml:space="preserve"> if it created share capital).</w:t>
            </w:r>
            <w:r w:rsidR="006D0B10" w:rsidRPr="00F01F39">
              <w:rPr>
                <w:bCs/>
                <w:color w:val="auto"/>
                <w:sz w:val="16"/>
                <w:szCs w:val="16"/>
                <w:lang w:val="en-GB" w:eastAsia="da-DK"/>
              </w:rPr>
              <w:t xml:space="preserve"> </w:t>
            </w:r>
            <w:r w:rsidRPr="00F01F39">
              <w:rPr>
                <w:bCs/>
                <w:color w:val="auto"/>
                <w:sz w:val="16"/>
                <w:szCs w:val="16"/>
                <w:lang w:val="en-GB" w:eastAsia="da-DK"/>
              </w:rPr>
              <w:t xml:space="preserve">A </w:t>
            </w:r>
            <w:r w:rsidRPr="00F01F39">
              <w:rPr>
                <w:bCs/>
                <w:i/>
                <w:color w:val="auto"/>
                <w:sz w:val="16"/>
                <w:szCs w:val="16"/>
                <w:lang w:val="en-GB" w:eastAsia="da-DK"/>
              </w:rPr>
              <w:t>company</w:t>
            </w:r>
            <w:r w:rsidRPr="00F01F39">
              <w:rPr>
                <w:bCs/>
                <w:color w:val="auto"/>
                <w:sz w:val="16"/>
                <w:szCs w:val="16"/>
                <w:lang w:val="en-GB" w:eastAsia="da-DK"/>
              </w:rPr>
              <w:t xml:space="preserve"> is also deemed a similar company having its registered office abroad.)</w:t>
            </w:r>
          </w:p>
          <w:p w:rsidR="000D5E5D" w:rsidRPr="00F01F39" w:rsidRDefault="00762821" w:rsidP="0076282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bCs/>
                <w:color w:val="auto"/>
                <w:sz w:val="16"/>
                <w:szCs w:val="16"/>
                <w:lang w:val="en-GB" w:eastAsia="da-DK"/>
              </w:rPr>
              <w:t xml:space="preserve">The aim is to comply with the tax neutrality concept. It is a before EU membership rule, i.e. regardless Parent Subsidiary Directive. </w:t>
            </w:r>
          </w:p>
          <w:p w:rsidR="0097352D" w:rsidRPr="00F01F39"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Number"/>
              <w:tabs>
                <w:tab w:val="clear" w:pos="284"/>
              </w:tabs>
              <w:ind w:left="340" w:hanging="340"/>
              <w:jc w:val="left"/>
              <w:rPr>
                <w:b w:val="0"/>
                <w:color w:val="auto"/>
                <w:sz w:val="16"/>
                <w:szCs w:val="16"/>
                <w:lang w:val="en-GB"/>
              </w:rPr>
            </w:pPr>
            <w:r w:rsidRPr="00F01F39">
              <w:rPr>
                <w:b w:val="0"/>
                <w:color w:val="auto"/>
                <w:sz w:val="16"/>
                <w:szCs w:val="16"/>
                <w:lang w:val="en-GB"/>
              </w:rPr>
              <w:t xml:space="preserve">If yes to question </w:t>
            </w:r>
            <w:r w:rsidR="003A6F57" w:rsidRPr="00F01F39">
              <w:rPr>
                <w:b w:val="0"/>
                <w:color w:val="auto"/>
                <w:sz w:val="16"/>
                <w:szCs w:val="16"/>
                <w:lang w:val="en-GB"/>
              </w:rPr>
              <w:t>3</w:t>
            </w:r>
            <w:r w:rsidRPr="00F01F39">
              <w:rPr>
                <w:b w:val="0"/>
                <w:color w:val="auto"/>
                <w:sz w:val="16"/>
                <w:szCs w:val="16"/>
                <w:lang w:val="en-GB"/>
              </w:rPr>
              <w:t>:</w:t>
            </w:r>
          </w:p>
        </w:tc>
        <w:tc>
          <w:tcPr>
            <w:tcW w:w="3933" w:type="dxa"/>
          </w:tcPr>
          <w:p w:rsidR="0097352D" w:rsidRPr="00F01F39"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455A2B" w:rsidRPr="00F01F39" w:rsidRDefault="00455A2B" w:rsidP="00455A2B">
            <w:pPr>
              <w:pStyle w:val="ListParagraph"/>
              <w:numPr>
                <w:ilvl w:val="0"/>
                <w:numId w:val="20"/>
              </w:numPr>
              <w:spacing w:line="240" w:lineRule="auto"/>
              <w:jc w:val="left"/>
              <w:rPr>
                <w:b w:val="0"/>
                <w:sz w:val="16"/>
                <w:szCs w:val="16"/>
                <w:lang w:val="en-GB"/>
              </w:rPr>
            </w:pPr>
            <w:r w:rsidRPr="00F01F39">
              <w:rPr>
                <w:b w:val="0"/>
                <w:sz w:val="16"/>
                <w:szCs w:val="16"/>
                <w:lang w:val="en-GB"/>
              </w:rPr>
              <w:t>Does this apply regardless of the tax residence of the distributing company, e.g. Member State, treaty state, tax haven?</w:t>
            </w:r>
          </w:p>
        </w:tc>
        <w:tc>
          <w:tcPr>
            <w:tcW w:w="3933" w:type="dxa"/>
          </w:tcPr>
          <w:p w:rsidR="00455A2B" w:rsidRPr="00F01F39" w:rsidRDefault="00762821" w:rsidP="0076282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Yes (see </w:t>
            </w:r>
            <w:r w:rsidR="006F537A" w:rsidRPr="00F01F39">
              <w:rPr>
                <w:color w:val="auto"/>
                <w:sz w:val="16"/>
                <w:szCs w:val="16"/>
                <w:lang w:val="en-GB"/>
              </w:rPr>
              <w:t>conditions mentioned under Question 3)</w:t>
            </w: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Paragraph"/>
              <w:numPr>
                <w:ilvl w:val="0"/>
                <w:numId w:val="20"/>
              </w:numPr>
              <w:spacing w:line="240" w:lineRule="auto"/>
              <w:jc w:val="left"/>
              <w:rPr>
                <w:b w:val="0"/>
                <w:sz w:val="16"/>
                <w:szCs w:val="16"/>
                <w:lang w:val="en-GB"/>
              </w:rPr>
            </w:pPr>
            <w:r w:rsidRPr="00F01F39">
              <w:rPr>
                <w:b w:val="0"/>
                <w:sz w:val="16"/>
                <w:szCs w:val="16"/>
                <w:lang w:val="en-GB"/>
              </w:rPr>
              <w:t xml:space="preserve">Does this apply regardless of the level of shareholding or voting rights held in the distributing company?  </w:t>
            </w:r>
          </w:p>
        </w:tc>
        <w:tc>
          <w:tcPr>
            <w:tcW w:w="3933" w:type="dxa"/>
          </w:tcPr>
          <w:p w:rsidR="0097352D" w:rsidRPr="00F01F39" w:rsidRDefault="00762821" w:rsidP="000D5E5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Yes (see conditions mentioned under Question 3)</w:t>
            </w: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Paragraph"/>
              <w:numPr>
                <w:ilvl w:val="0"/>
                <w:numId w:val="20"/>
              </w:numPr>
              <w:spacing w:line="240" w:lineRule="auto"/>
              <w:jc w:val="left"/>
              <w:rPr>
                <w:b w:val="0"/>
                <w:sz w:val="16"/>
                <w:szCs w:val="16"/>
                <w:lang w:val="en-GB"/>
              </w:rPr>
            </w:pPr>
            <w:r w:rsidRPr="00F01F39">
              <w:rPr>
                <w:b w:val="0"/>
                <w:sz w:val="16"/>
                <w:szCs w:val="16"/>
                <w:lang w:val="en-GB"/>
              </w:rPr>
              <w:t>Does this also apply if the dividends have been deducted by the distributing company in its taxable income?</w:t>
            </w:r>
          </w:p>
        </w:tc>
        <w:tc>
          <w:tcPr>
            <w:tcW w:w="3933" w:type="dxa"/>
          </w:tcPr>
          <w:p w:rsidR="0097352D" w:rsidRPr="00F01F39" w:rsidRDefault="000D5E5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Yes.</w:t>
            </w: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46523" w:rsidP="00427661">
            <w:pPr>
              <w:pStyle w:val="ListParagraph"/>
              <w:numPr>
                <w:ilvl w:val="0"/>
                <w:numId w:val="20"/>
              </w:numPr>
              <w:spacing w:line="240" w:lineRule="auto"/>
              <w:jc w:val="left"/>
              <w:rPr>
                <w:b w:val="0"/>
                <w:sz w:val="16"/>
                <w:szCs w:val="16"/>
                <w:lang w:val="en-GB"/>
              </w:rPr>
            </w:pPr>
            <w:r w:rsidRPr="00F01F39">
              <w:rPr>
                <w:b w:val="0"/>
                <w:sz w:val="16"/>
                <w:szCs w:val="16"/>
                <w:lang w:val="en-GB"/>
              </w:rPr>
              <w:t xml:space="preserve">If yes to b, how will the recent amendment of Article 4 of the EU Parent/Subsidiary </w:t>
            </w:r>
            <w:r w:rsidR="00A30052" w:rsidRPr="00F01F39">
              <w:rPr>
                <w:b w:val="0"/>
                <w:sz w:val="16"/>
                <w:szCs w:val="16"/>
                <w:lang w:val="en-GB"/>
              </w:rPr>
              <w:t>Directive, which</w:t>
            </w:r>
            <w:r w:rsidRPr="00F01F39">
              <w:rPr>
                <w:b w:val="0"/>
                <w:sz w:val="16"/>
                <w:szCs w:val="16"/>
                <w:lang w:val="en-GB"/>
              </w:rPr>
              <w:t xml:space="preserve"> requires Member States to tax dividends if they have been deducted by the subsidiary, affect your answer?</w:t>
            </w:r>
          </w:p>
        </w:tc>
        <w:tc>
          <w:tcPr>
            <w:tcW w:w="3933" w:type="dxa"/>
          </w:tcPr>
          <w:p w:rsidR="0097352D" w:rsidRPr="00F01F39" w:rsidRDefault="00B45408" w:rsidP="00B4540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There is a draft amendment </w:t>
            </w:r>
            <w:r w:rsidR="00293871" w:rsidRPr="00F01F39">
              <w:rPr>
                <w:color w:val="auto"/>
                <w:sz w:val="16"/>
                <w:szCs w:val="16"/>
                <w:lang w:val="en-GB"/>
              </w:rPr>
              <w:t xml:space="preserve">to the SITA </w:t>
            </w:r>
            <w:r w:rsidRPr="00F01F39">
              <w:rPr>
                <w:color w:val="auto"/>
                <w:sz w:val="16"/>
                <w:szCs w:val="16"/>
                <w:lang w:val="en-GB"/>
              </w:rPr>
              <w:t>published based</w:t>
            </w:r>
            <w:r w:rsidR="005D242F" w:rsidRPr="00F01F39">
              <w:rPr>
                <w:color w:val="auto"/>
                <w:sz w:val="16"/>
                <w:szCs w:val="16"/>
                <w:lang w:val="en-GB"/>
              </w:rPr>
              <w:t xml:space="preserve"> on which the dividends will</w:t>
            </w:r>
            <w:r w:rsidRPr="00F01F39">
              <w:rPr>
                <w:color w:val="auto"/>
                <w:sz w:val="16"/>
                <w:szCs w:val="16"/>
                <w:lang w:val="en-GB"/>
              </w:rPr>
              <w:t xml:space="preserve"> be subject to tax “to the extent that such profits are deductible by the subsidiary”. The amendment (after it is approved) should be valid from 1 January 2016.</w:t>
            </w:r>
          </w:p>
          <w:p w:rsidR="00B45408" w:rsidRPr="00F01F39" w:rsidRDefault="00B45408" w:rsidP="00B4540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Implementation of Council Directive 2014//86/EU</w:t>
            </w:r>
            <w:r w:rsidR="00065B88" w:rsidRPr="00F01F39">
              <w:rPr>
                <w:color w:val="auto"/>
                <w:sz w:val="16"/>
                <w:szCs w:val="16"/>
                <w:lang w:val="en-GB"/>
              </w:rPr>
              <w:t xml:space="preserve"> on the common system of taxation applicable in the case of parent companies and subsidiaries of different member states.</w:t>
            </w:r>
          </w:p>
        </w:tc>
      </w:tr>
      <w:tr w:rsidR="0097352D" w:rsidRPr="00F01F39"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F01F39" w:rsidRDefault="0097352D" w:rsidP="00427661">
            <w:pPr>
              <w:rPr>
                <w:lang w:val="en-GB"/>
              </w:rPr>
            </w:pPr>
            <w:r w:rsidRPr="00F01F39">
              <w:rPr>
                <w:i/>
                <w:sz w:val="16"/>
                <w:szCs w:val="16"/>
                <w:lang w:val="en-GB"/>
              </w:rPr>
              <w:t>Dividends paid</w:t>
            </w: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Number"/>
              <w:tabs>
                <w:tab w:val="clear" w:pos="284"/>
              </w:tabs>
              <w:ind w:left="340" w:hanging="340"/>
              <w:jc w:val="left"/>
              <w:rPr>
                <w:b w:val="0"/>
                <w:i/>
                <w:color w:val="auto"/>
                <w:sz w:val="16"/>
                <w:szCs w:val="16"/>
                <w:lang w:val="en-GB"/>
              </w:rPr>
            </w:pPr>
            <w:r w:rsidRPr="00F01F39">
              <w:rPr>
                <w:b w:val="0"/>
                <w:color w:val="auto"/>
                <w:sz w:val="16"/>
                <w:szCs w:val="16"/>
                <w:lang w:val="en-GB"/>
              </w:rPr>
              <w:t xml:space="preserve">Is it possible for a company in your MS to distribute </w:t>
            </w:r>
            <w:r w:rsidRPr="00F01F39">
              <w:rPr>
                <w:b w:val="0"/>
                <w:color w:val="auto"/>
                <w:sz w:val="16"/>
                <w:szCs w:val="16"/>
                <w:lang w:val="en-GB"/>
              </w:rPr>
              <w:lastRenderedPageBreak/>
              <w:t>dividends to a foreign company without any withholding tax?</w:t>
            </w:r>
          </w:p>
        </w:tc>
        <w:tc>
          <w:tcPr>
            <w:tcW w:w="3933" w:type="dxa"/>
          </w:tcPr>
          <w:p w:rsidR="0065560A" w:rsidRPr="00F01F39" w:rsidRDefault="00645D9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lastRenderedPageBreak/>
              <w:t>Yes.</w:t>
            </w:r>
            <w:r w:rsidR="000A007A" w:rsidRPr="00F01F39">
              <w:rPr>
                <w:color w:val="auto"/>
                <w:sz w:val="16"/>
                <w:szCs w:val="16"/>
                <w:lang w:val="en-GB"/>
              </w:rPr>
              <w:t xml:space="preserve"> </w:t>
            </w:r>
          </w:p>
          <w:p w:rsidR="0097352D" w:rsidRPr="00F01F39" w:rsidRDefault="000A007A"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lastRenderedPageBreak/>
              <w:t>(see conditions mentioned under Question 3)</w:t>
            </w: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Number"/>
              <w:rPr>
                <w:b w:val="0"/>
                <w:color w:val="auto"/>
                <w:sz w:val="16"/>
                <w:szCs w:val="16"/>
                <w:lang w:val="en-GB"/>
              </w:rPr>
            </w:pPr>
            <w:r w:rsidRPr="00F01F39">
              <w:rPr>
                <w:b w:val="0"/>
                <w:color w:val="auto"/>
                <w:sz w:val="16"/>
                <w:szCs w:val="16"/>
                <w:lang w:val="en-GB"/>
              </w:rPr>
              <w:lastRenderedPageBreak/>
              <w:t xml:space="preserve">If yes to </w:t>
            </w:r>
            <w:r w:rsidR="003A6F57" w:rsidRPr="00F01F39">
              <w:rPr>
                <w:b w:val="0"/>
                <w:color w:val="auto"/>
                <w:sz w:val="16"/>
                <w:szCs w:val="16"/>
                <w:lang w:val="en-GB"/>
              </w:rPr>
              <w:t>5</w:t>
            </w:r>
            <w:r w:rsidRPr="00F01F39">
              <w:rPr>
                <w:b w:val="0"/>
                <w:color w:val="auto"/>
                <w:sz w:val="16"/>
                <w:szCs w:val="16"/>
                <w:lang w:val="en-GB"/>
              </w:rPr>
              <w:t>,</w:t>
            </w:r>
          </w:p>
        </w:tc>
        <w:tc>
          <w:tcPr>
            <w:tcW w:w="3933" w:type="dxa"/>
          </w:tcPr>
          <w:p w:rsidR="0097352D" w:rsidRPr="00F01F39"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Paragraph"/>
              <w:numPr>
                <w:ilvl w:val="0"/>
                <w:numId w:val="24"/>
              </w:numPr>
              <w:spacing w:line="240" w:lineRule="auto"/>
              <w:jc w:val="left"/>
              <w:rPr>
                <w:b w:val="0"/>
                <w:sz w:val="16"/>
                <w:szCs w:val="16"/>
                <w:lang w:val="en-GB"/>
              </w:rPr>
            </w:pPr>
            <w:r w:rsidRPr="00F01F39">
              <w:rPr>
                <w:b w:val="0"/>
                <w:sz w:val="16"/>
                <w:szCs w:val="16"/>
                <w:lang w:val="en-GB"/>
              </w:rPr>
              <w:t>Does this apply regardless of the amount or percentage of shares</w:t>
            </w:r>
            <w:r w:rsidR="00A30052" w:rsidRPr="00F01F39">
              <w:rPr>
                <w:b w:val="0"/>
                <w:sz w:val="16"/>
                <w:szCs w:val="16"/>
                <w:lang w:val="en-GB"/>
              </w:rPr>
              <w:t>,</w:t>
            </w:r>
            <w:r w:rsidRPr="00F01F39">
              <w:rPr>
                <w:b w:val="0"/>
                <w:sz w:val="16"/>
                <w:szCs w:val="16"/>
                <w:lang w:val="en-GB"/>
              </w:rPr>
              <w:t xml:space="preserve"> which the foreign company holds?</w:t>
            </w:r>
          </w:p>
        </w:tc>
        <w:tc>
          <w:tcPr>
            <w:tcW w:w="3933" w:type="dxa"/>
          </w:tcPr>
          <w:p w:rsidR="0065560A" w:rsidRPr="00F01F39" w:rsidRDefault="00762821"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Yes </w:t>
            </w:r>
          </w:p>
          <w:p w:rsidR="0097352D" w:rsidRPr="00F01F39" w:rsidRDefault="00762821"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(see conditions mentioned under Question 3)</w:t>
            </w: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Paragraph"/>
              <w:numPr>
                <w:ilvl w:val="0"/>
                <w:numId w:val="24"/>
              </w:numPr>
              <w:spacing w:line="240" w:lineRule="auto"/>
              <w:jc w:val="left"/>
              <w:rPr>
                <w:b w:val="0"/>
                <w:sz w:val="16"/>
                <w:szCs w:val="16"/>
                <w:lang w:val="en-GB"/>
              </w:rPr>
            </w:pPr>
            <w:r w:rsidRPr="00F01F39">
              <w:rPr>
                <w:b w:val="0"/>
                <w:sz w:val="16"/>
                <w:szCs w:val="16"/>
                <w:lang w:val="en-GB"/>
              </w:rPr>
              <w:t xml:space="preserve">Does this apply regardless of the tax residence of the foreign company, e.g. member state, treaty state, tax haven? </w:t>
            </w:r>
          </w:p>
        </w:tc>
        <w:tc>
          <w:tcPr>
            <w:tcW w:w="3933" w:type="dxa"/>
          </w:tcPr>
          <w:p w:rsidR="0065560A" w:rsidRPr="00F01F39" w:rsidRDefault="00762821"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Yes </w:t>
            </w:r>
          </w:p>
          <w:p w:rsidR="0097352D" w:rsidRPr="00F01F39" w:rsidRDefault="00762821"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(see conditions mentioned under Question 3)</w:t>
            </w: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Paragraph"/>
              <w:numPr>
                <w:ilvl w:val="0"/>
                <w:numId w:val="24"/>
              </w:numPr>
              <w:spacing w:line="240" w:lineRule="auto"/>
              <w:jc w:val="left"/>
              <w:rPr>
                <w:b w:val="0"/>
                <w:sz w:val="16"/>
                <w:szCs w:val="16"/>
                <w:lang w:val="en-GB"/>
              </w:rPr>
            </w:pPr>
            <w:r w:rsidRPr="00F01F39">
              <w:rPr>
                <w:b w:val="0"/>
                <w:sz w:val="16"/>
                <w:szCs w:val="16"/>
                <w:lang w:val="en-GB"/>
              </w:rPr>
              <w:t>Is the withholding tax exemption subject to a beneficial ownership requirement similar to that of the OECD model tax convention?</w:t>
            </w:r>
          </w:p>
        </w:tc>
        <w:tc>
          <w:tcPr>
            <w:tcW w:w="3933" w:type="dxa"/>
          </w:tcPr>
          <w:p w:rsidR="0065560A" w:rsidRPr="00F01F39" w:rsidRDefault="000A007A" w:rsidP="00B46F2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No </w:t>
            </w:r>
          </w:p>
          <w:p w:rsidR="0097352D" w:rsidRPr="00F01F39" w:rsidRDefault="000A007A" w:rsidP="00B46F2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(see conditions mentioned under Question 3) </w:t>
            </w: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Paragraph"/>
              <w:numPr>
                <w:ilvl w:val="0"/>
                <w:numId w:val="24"/>
              </w:numPr>
              <w:spacing w:line="240" w:lineRule="auto"/>
              <w:jc w:val="left"/>
              <w:rPr>
                <w:b w:val="0"/>
                <w:sz w:val="16"/>
                <w:szCs w:val="16"/>
                <w:lang w:val="en-GB"/>
              </w:rPr>
            </w:pPr>
            <w:r w:rsidRPr="00F01F39">
              <w:rPr>
                <w:b w:val="0"/>
                <w:sz w:val="16"/>
                <w:szCs w:val="16"/>
                <w:lang w:val="en-GB"/>
              </w:rPr>
              <w:t>Is the withholding tax exemption subject to any other anti-avoidance requirements, e.g. based on substance of the recipient? If yes, please briefly explain.</w:t>
            </w:r>
          </w:p>
        </w:tc>
        <w:tc>
          <w:tcPr>
            <w:tcW w:w="3933" w:type="dxa"/>
          </w:tcPr>
          <w:p w:rsidR="00762821" w:rsidRPr="00F01F39" w:rsidRDefault="000A007A" w:rsidP="00B45408">
            <w:pPr>
              <w:jc w:val="left"/>
              <w:cnfStyle w:val="000000100000" w:firstRow="0" w:lastRow="0" w:firstColumn="0" w:lastColumn="0" w:oddVBand="0" w:evenVBand="0" w:oddHBand="1" w:evenHBand="0" w:firstRowFirstColumn="0" w:firstRowLastColumn="0" w:lastRowFirstColumn="0" w:lastRowLastColumn="0"/>
              <w:rPr>
                <w:bCs/>
                <w:color w:val="auto"/>
                <w:sz w:val="16"/>
                <w:szCs w:val="16"/>
                <w:lang w:val="en-GB" w:eastAsia="da-DK"/>
              </w:rPr>
            </w:pPr>
            <w:r w:rsidRPr="00F01F39">
              <w:rPr>
                <w:bCs/>
                <w:color w:val="auto"/>
                <w:sz w:val="16"/>
                <w:szCs w:val="16"/>
                <w:lang w:val="en-GB" w:eastAsia="da-DK"/>
              </w:rPr>
              <w:t>No, There is a draft amendment to the SITA which should be valid from 1 January 2016 after its approval. Implementation of Council Directive 2014/86/EU on the common system of taxation applicable in the case of parent companies and subsidiaries of different member states.</w:t>
            </w:r>
          </w:p>
          <w:p w:rsidR="0097352D" w:rsidRPr="00F01F39"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Number"/>
              <w:tabs>
                <w:tab w:val="clear" w:pos="284"/>
              </w:tabs>
              <w:ind w:left="340" w:hanging="340"/>
              <w:jc w:val="left"/>
              <w:rPr>
                <w:b w:val="0"/>
                <w:color w:val="auto"/>
                <w:sz w:val="16"/>
                <w:szCs w:val="16"/>
                <w:lang w:val="en-GB"/>
              </w:rPr>
            </w:pPr>
            <w:r w:rsidRPr="00F01F39">
              <w:rPr>
                <w:b w:val="0"/>
                <w:color w:val="auto"/>
                <w:sz w:val="16"/>
                <w:szCs w:val="16"/>
                <w:lang w:val="en-GB"/>
              </w:rPr>
              <w:t>Is any other tax levied upon a distribution of a dividend by a company in your MS?</w:t>
            </w:r>
          </w:p>
        </w:tc>
        <w:tc>
          <w:tcPr>
            <w:tcW w:w="3933" w:type="dxa"/>
          </w:tcPr>
          <w:p w:rsidR="0097352D" w:rsidRPr="00F01F39" w:rsidRDefault="000A007A" w:rsidP="009E75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YES. </w:t>
            </w:r>
            <w:r w:rsidR="009E75EB" w:rsidRPr="00F01F39">
              <w:rPr>
                <w:color w:val="auto"/>
                <w:sz w:val="16"/>
                <w:szCs w:val="16"/>
                <w:lang w:val="en-GB"/>
              </w:rPr>
              <w:t xml:space="preserve">There is a health insurance </w:t>
            </w:r>
            <w:r w:rsidR="00381F50" w:rsidRPr="00F01F39">
              <w:rPr>
                <w:color w:val="auto"/>
                <w:sz w:val="16"/>
                <w:szCs w:val="16"/>
                <w:lang w:val="en-GB"/>
              </w:rPr>
              <w:t>contribution</w:t>
            </w:r>
            <w:r w:rsidR="009E75EB" w:rsidRPr="00F01F39">
              <w:rPr>
                <w:color w:val="auto"/>
                <w:sz w:val="16"/>
                <w:szCs w:val="16"/>
                <w:lang w:val="en-GB"/>
              </w:rPr>
              <w:t xml:space="preserve"> for individuals who receive dividends. </w:t>
            </w:r>
            <w:r w:rsidR="009E75EB" w:rsidRPr="00F01F39">
              <w:rPr>
                <w:sz w:val="16"/>
                <w:szCs w:val="16"/>
                <w:lang w:val="en-GB"/>
              </w:rPr>
              <w:t>From 2011 there is a health insurance fee on dividends (also on payments to limited partners) if the beneficiary is subject to Slovak social security system.</w:t>
            </w:r>
            <w:r w:rsidR="009E75EB" w:rsidRPr="00F01F39">
              <w:rPr>
                <w:lang w:val="en-GB"/>
              </w:rPr>
              <w:t xml:space="preserve"> </w:t>
            </w: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427661">
            <w:pPr>
              <w:pStyle w:val="ListNumber"/>
              <w:tabs>
                <w:tab w:val="clear" w:pos="284"/>
              </w:tabs>
              <w:ind w:left="340" w:hanging="340"/>
              <w:jc w:val="left"/>
              <w:rPr>
                <w:b w:val="0"/>
                <w:color w:val="auto"/>
                <w:sz w:val="16"/>
                <w:szCs w:val="16"/>
                <w:lang w:val="en-GB"/>
              </w:rPr>
            </w:pPr>
            <w:r w:rsidRPr="00F01F39">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F01F39">
              <w:rPr>
                <w:b w:val="0"/>
                <w:color w:val="auto"/>
                <w:sz w:val="16"/>
                <w:szCs w:val="16"/>
                <w:lang w:val="en-GB"/>
              </w:rPr>
              <w:t xml:space="preserve"> Please refer to question 4 and 5 above.</w:t>
            </w:r>
          </w:p>
        </w:tc>
        <w:tc>
          <w:tcPr>
            <w:tcW w:w="3933" w:type="dxa"/>
          </w:tcPr>
          <w:p w:rsidR="00CB6589" w:rsidRPr="00F01F39" w:rsidRDefault="00CB6589"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Yes. Dividend equivalents </w:t>
            </w:r>
            <w:r w:rsidR="0066071D" w:rsidRPr="00F01F39">
              <w:rPr>
                <w:color w:val="auto"/>
                <w:sz w:val="16"/>
                <w:szCs w:val="16"/>
                <w:lang w:val="en-GB"/>
              </w:rPr>
              <w:t xml:space="preserve">such as a payment of liquidation proceeds </w:t>
            </w:r>
            <w:r w:rsidRPr="00F01F39">
              <w:rPr>
                <w:color w:val="auto"/>
                <w:sz w:val="16"/>
                <w:szCs w:val="16"/>
                <w:lang w:val="en-GB"/>
              </w:rPr>
              <w:t>are not subject to tax.</w:t>
            </w:r>
          </w:p>
          <w:p w:rsidR="00CB6589" w:rsidRPr="00F01F39" w:rsidRDefault="00CB6589"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12(7)c and §1</w:t>
            </w:r>
            <w:r w:rsidR="00C00C2A" w:rsidRPr="00F01F39">
              <w:rPr>
                <w:color w:val="auto"/>
                <w:sz w:val="16"/>
                <w:szCs w:val="16"/>
                <w:lang w:val="en-GB"/>
              </w:rPr>
              <w:t>2</w:t>
            </w:r>
            <w:r w:rsidRPr="00F01F39">
              <w:rPr>
                <w:color w:val="auto"/>
                <w:sz w:val="16"/>
                <w:szCs w:val="16"/>
                <w:lang w:val="en-GB"/>
              </w:rPr>
              <w:t>(7)d SITA</w:t>
            </w:r>
          </w:p>
        </w:tc>
      </w:tr>
      <w:tr w:rsidR="0097352D" w:rsidRPr="00F01F39"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F01F39" w:rsidRDefault="0097352D" w:rsidP="00427661">
            <w:pPr>
              <w:rPr>
                <w:lang w:val="en-GB"/>
              </w:rPr>
            </w:pPr>
            <w:r w:rsidRPr="00F01F39">
              <w:rPr>
                <w:i/>
                <w:sz w:val="16"/>
                <w:szCs w:val="16"/>
                <w:lang w:val="en-GB"/>
              </w:rPr>
              <w:t>Interest income</w:t>
            </w: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97352D">
            <w:pPr>
              <w:pStyle w:val="ListNumber"/>
              <w:tabs>
                <w:tab w:val="clear" w:pos="284"/>
              </w:tabs>
              <w:ind w:left="340" w:hanging="340"/>
              <w:jc w:val="left"/>
              <w:rPr>
                <w:b w:val="0"/>
                <w:color w:val="auto"/>
                <w:sz w:val="16"/>
                <w:szCs w:val="16"/>
                <w:lang w:val="en-GB"/>
              </w:rPr>
            </w:pPr>
            <w:r w:rsidRPr="00F01F39">
              <w:rPr>
                <w:b w:val="0"/>
                <w:color w:val="auto"/>
                <w:sz w:val="16"/>
                <w:szCs w:val="16"/>
                <w:lang w:val="en-GB"/>
              </w:rPr>
              <w:t>Is interest income from a loan granted by a company in your MS to a foreign group member company taxable?</w:t>
            </w:r>
          </w:p>
        </w:tc>
        <w:tc>
          <w:tcPr>
            <w:tcW w:w="3933" w:type="dxa"/>
          </w:tcPr>
          <w:p w:rsidR="0097352D" w:rsidRPr="00F01F39" w:rsidRDefault="005A7FE3"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Yes. </w:t>
            </w:r>
            <w:r w:rsidR="009E75EB" w:rsidRPr="00F01F39">
              <w:rPr>
                <w:color w:val="auto"/>
                <w:sz w:val="16"/>
                <w:szCs w:val="16"/>
                <w:lang w:val="en-GB"/>
              </w:rPr>
              <w:t>(Interest and Royalty Directive)</w:t>
            </w: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97352D">
            <w:pPr>
              <w:pStyle w:val="ListNumber"/>
              <w:tabs>
                <w:tab w:val="clear" w:pos="284"/>
              </w:tabs>
              <w:ind w:left="340" w:hanging="340"/>
              <w:jc w:val="left"/>
              <w:rPr>
                <w:b w:val="0"/>
                <w:color w:val="auto"/>
                <w:sz w:val="16"/>
                <w:szCs w:val="16"/>
                <w:lang w:val="en-GB"/>
              </w:rPr>
            </w:pPr>
            <w:r w:rsidRPr="00F01F39">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rsidR="0097352D" w:rsidRPr="00F01F39" w:rsidRDefault="00EC6433" w:rsidP="009E75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Yes. </w:t>
            </w:r>
            <w:r w:rsidR="00AF1651" w:rsidRPr="00F01F39">
              <w:rPr>
                <w:color w:val="auto"/>
                <w:sz w:val="16"/>
                <w:szCs w:val="16"/>
                <w:lang w:val="en-GB"/>
              </w:rPr>
              <w:t xml:space="preserve">The tax base of a resident related party shall also include the difference between the prices agreed in business transactions of non-resident parties and the prices applied between unrelated parties in comparable business transactions, as long as such a difference results in a reduction of the tax base or increase of tax loss. See </w:t>
            </w:r>
            <w:r w:rsidRPr="00F01F39">
              <w:rPr>
                <w:color w:val="auto"/>
                <w:sz w:val="16"/>
                <w:szCs w:val="16"/>
                <w:lang w:val="en-GB"/>
              </w:rPr>
              <w:t>§17(5) SITA</w:t>
            </w: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97352D">
            <w:pPr>
              <w:pStyle w:val="ListNumber"/>
              <w:tabs>
                <w:tab w:val="clear" w:pos="284"/>
              </w:tabs>
              <w:ind w:left="340" w:hanging="340"/>
              <w:jc w:val="left"/>
              <w:rPr>
                <w:b w:val="0"/>
                <w:color w:val="auto"/>
                <w:sz w:val="16"/>
                <w:szCs w:val="16"/>
                <w:lang w:val="en-GB"/>
              </w:rPr>
            </w:pPr>
            <w:r w:rsidRPr="00F01F39">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F01F39">
              <w:rPr>
                <w:b w:val="0"/>
                <w:color w:val="auto"/>
                <w:sz w:val="16"/>
                <w:szCs w:val="16"/>
                <w:lang w:val="en-GB"/>
              </w:rPr>
              <w:t xml:space="preserve"> (regardless of the </w:t>
            </w:r>
            <w:r w:rsidR="00B722C7" w:rsidRPr="00F01F39">
              <w:rPr>
                <w:b w:val="0"/>
                <w:color w:val="auto"/>
                <w:sz w:val="16"/>
                <w:szCs w:val="16"/>
                <w:lang w:val="en-GB"/>
              </w:rPr>
              <w:t>non-MS assumption in the description of the Model).</w:t>
            </w:r>
          </w:p>
        </w:tc>
        <w:tc>
          <w:tcPr>
            <w:tcW w:w="3933" w:type="dxa"/>
          </w:tcPr>
          <w:p w:rsidR="0097352D" w:rsidRPr="00F01F39" w:rsidRDefault="0066071D"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We do not have any special rules for re</w:t>
            </w:r>
            <w:r w:rsidR="007C4B2A" w:rsidRPr="00F01F39">
              <w:rPr>
                <w:color w:val="auto"/>
                <w:sz w:val="16"/>
                <w:szCs w:val="16"/>
                <w:lang w:val="en-GB"/>
              </w:rPr>
              <w:t>-</w:t>
            </w:r>
            <w:r w:rsidRPr="00F01F39">
              <w:rPr>
                <w:color w:val="auto"/>
                <w:sz w:val="16"/>
                <w:szCs w:val="16"/>
                <w:lang w:val="en-GB"/>
              </w:rPr>
              <w:t>characterization of hybrid instruments and therefore income will be treated as interest</w:t>
            </w:r>
            <w:r w:rsidR="007C4B2A" w:rsidRPr="00F01F39">
              <w:rPr>
                <w:rStyle w:val="FootnoteReference"/>
                <w:color w:val="auto"/>
                <w:szCs w:val="16"/>
                <w:lang w:val="en-GB"/>
              </w:rPr>
              <w:footnoteReference w:id="2"/>
            </w:r>
            <w:r w:rsidRPr="00F01F39">
              <w:rPr>
                <w:color w:val="auto"/>
                <w:sz w:val="16"/>
                <w:szCs w:val="16"/>
                <w:lang w:val="en-GB"/>
              </w:rPr>
              <w:t>.</w:t>
            </w: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3A6F57">
            <w:pPr>
              <w:pStyle w:val="ListNumber"/>
              <w:tabs>
                <w:tab w:val="clear" w:pos="284"/>
              </w:tabs>
              <w:ind w:left="340" w:hanging="340"/>
              <w:jc w:val="left"/>
              <w:rPr>
                <w:b w:val="0"/>
                <w:color w:val="auto"/>
                <w:sz w:val="16"/>
                <w:szCs w:val="16"/>
                <w:lang w:val="en-GB"/>
              </w:rPr>
            </w:pPr>
            <w:r w:rsidRPr="00F01F39">
              <w:rPr>
                <w:b w:val="0"/>
                <w:color w:val="auto"/>
                <w:sz w:val="16"/>
                <w:szCs w:val="16"/>
                <w:lang w:val="en-GB"/>
              </w:rPr>
              <w:t>If yes to 1</w:t>
            </w:r>
            <w:r w:rsidR="003A6F57" w:rsidRPr="00F01F39">
              <w:rPr>
                <w:b w:val="0"/>
                <w:color w:val="auto"/>
                <w:sz w:val="16"/>
                <w:szCs w:val="16"/>
                <w:lang w:val="en-GB"/>
              </w:rPr>
              <w:t>1</w:t>
            </w:r>
            <w:r w:rsidRPr="00F01F39">
              <w:rPr>
                <w:b w:val="0"/>
                <w:color w:val="auto"/>
                <w:sz w:val="16"/>
                <w:szCs w:val="16"/>
                <w:lang w:val="en-GB"/>
              </w:rPr>
              <w:t>,</w:t>
            </w:r>
          </w:p>
        </w:tc>
        <w:tc>
          <w:tcPr>
            <w:tcW w:w="3933" w:type="dxa"/>
          </w:tcPr>
          <w:p w:rsidR="0097352D" w:rsidRPr="00F01F39"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0243B6">
            <w:pPr>
              <w:pStyle w:val="ListNumber"/>
              <w:numPr>
                <w:ilvl w:val="0"/>
                <w:numId w:val="23"/>
              </w:numPr>
              <w:ind w:left="680"/>
              <w:jc w:val="left"/>
              <w:rPr>
                <w:b w:val="0"/>
                <w:color w:val="auto"/>
                <w:sz w:val="16"/>
                <w:szCs w:val="16"/>
                <w:lang w:val="en-GB"/>
              </w:rPr>
            </w:pPr>
            <w:r w:rsidRPr="00F01F39">
              <w:rPr>
                <w:b w:val="0"/>
                <w:color w:val="auto"/>
                <w:sz w:val="16"/>
                <w:szCs w:val="16"/>
                <w:lang w:val="en-GB"/>
              </w:rPr>
              <w:t>Please briefly explain which requirements should be fulfilled.</w:t>
            </w:r>
          </w:p>
        </w:tc>
        <w:tc>
          <w:tcPr>
            <w:tcW w:w="3933" w:type="dxa"/>
          </w:tcPr>
          <w:p w:rsidR="0097352D" w:rsidRPr="00F01F39" w:rsidRDefault="00762821"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There are no detailed rules except for the one explained in Question 3. </w:t>
            </w:r>
          </w:p>
        </w:tc>
      </w:tr>
      <w:tr w:rsidR="0097352D"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F01F39" w:rsidRDefault="0097352D" w:rsidP="000243B6">
            <w:pPr>
              <w:pStyle w:val="ListNumber"/>
              <w:numPr>
                <w:ilvl w:val="0"/>
                <w:numId w:val="23"/>
              </w:numPr>
              <w:ind w:left="680"/>
              <w:jc w:val="left"/>
              <w:rPr>
                <w:b w:val="0"/>
                <w:color w:val="auto"/>
                <w:sz w:val="16"/>
                <w:szCs w:val="16"/>
                <w:lang w:val="en-GB"/>
              </w:rPr>
            </w:pPr>
            <w:r w:rsidRPr="00F01F39">
              <w:rPr>
                <w:b w:val="0"/>
                <w:color w:val="auto"/>
                <w:sz w:val="16"/>
                <w:szCs w:val="16"/>
                <w:lang w:val="en-GB"/>
              </w:rPr>
              <w:t xml:space="preserve">How will the amendment of Article 4 of the EU Parent/Subsidiary Directive affect your answer? </w:t>
            </w:r>
          </w:p>
        </w:tc>
        <w:tc>
          <w:tcPr>
            <w:tcW w:w="3933" w:type="dxa"/>
          </w:tcPr>
          <w:p w:rsidR="0097352D" w:rsidRPr="00F01F39" w:rsidRDefault="00AB7EF0"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See Question 4d) above. It depends on the final implementation into Slovak legislation. </w:t>
            </w:r>
          </w:p>
        </w:tc>
      </w:tr>
      <w:tr w:rsidR="009E71C6" w:rsidRPr="00F01F39"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9E71C6" w:rsidP="00427661">
            <w:pPr>
              <w:rPr>
                <w:lang w:val="en-GB"/>
              </w:rPr>
            </w:pPr>
            <w:r w:rsidRPr="00F01F39">
              <w:rPr>
                <w:i/>
                <w:sz w:val="16"/>
                <w:szCs w:val="16"/>
                <w:lang w:val="en-GB"/>
              </w:rPr>
              <w:t>Interest costs</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C62116">
            <w:pPr>
              <w:pStyle w:val="ListNumber"/>
              <w:tabs>
                <w:tab w:val="clear" w:pos="284"/>
              </w:tabs>
              <w:ind w:left="340" w:hanging="340"/>
              <w:jc w:val="left"/>
              <w:rPr>
                <w:b w:val="0"/>
                <w:color w:val="auto"/>
                <w:sz w:val="16"/>
                <w:szCs w:val="16"/>
                <w:lang w:val="en-GB"/>
              </w:rPr>
            </w:pPr>
            <w:r w:rsidRPr="00F01F39">
              <w:rPr>
                <w:b w:val="0"/>
                <w:color w:val="auto"/>
                <w:sz w:val="16"/>
                <w:szCs w:val="16"/>
                <w:lang w:val="en-GB"/>
              </w:rPr>
              <w:t xml:space="preserve">Are inter-group interest payments on </w:t>
            </w:r>
            <w:r w:rsidR="00C62116" w:rsidRPr="00F01F39">
              <w:rPr>
                <w:b w:val="0"/>
                <w:color w:val="auto"/>
                <w:sz w:val="16"/>
                <w:szCs w:val="16"/>
                <w:lang w:val="en-GB"/>
              </w:rPr>
              <w:t>a</w:t>
            </w:r>
            <w:r w:rsidRPr="00F01F39">
              <w:rPr>
                <w:b w:val="0"/>
                <w:color w:val="auto"/>
                <w:sz w:val="16"/>
                <w:szCs w:val="16"/>
                <w:lang w:val="en-GB"/>
              </w:rPr>
              <w:t xml:space="preserve"> loan granted by a foreign group member company tax deductible to a resident in your MS?</w:t>
            </w:r>
          </w:p>
        </w:tc>
        <w:tc>
          <w:tcPr>
            <w:tcW w:w="3933" w:type="dxa"/>
          </w:tcPr>
          <w:p w:rsidR="009E71C6" w:rsidRPr="00F01F39" w:rsidRDefault="00645D9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Yes. Interest on debts relating to the business is deductible for tax purposes</w:t>
            </w:r>
            <w:r w:rsidR="005A7FE3" w:rsidRPr="00F01F39">
              <w:rPr>
                <w:color w:val="auto"/>
                <w:sz w:val="16"/>
                <w:szCs w:val="16"/>
                <w:lang w:val="en-GB"/>
              </w:rPr>
              <w:t xml:space="preserve">, but there is a limit </w:t>
            </w:r>
            <w:r w:rsidR="00EC6433" w:rsidRPr="00F01F39">
              <w:rPr>
                <w:color w:val="auto"/>
                <w:sz w:val="16"/>
                <w:szCs w:val="16"/>
                <w:lang w:val="en-GB"/>
              </w:rPr>
              <w:t xml:space="preserve">for inter-group interest </w:t>
            </w:r>
            <w:r w:rsidR="005A7FE3" w:rsidRPr="00F01F39">
              <w:rPr>
                <w:color w:val="auto"/>
                <w:sz w:val="16"/>
                <w:szCs w:val="16"/>
                <w:lang w:val="en-GB"/>
              </w:rPr>
              <w:t>(see Question 15)</w:t>
            </w:r>
            <w:r w:rsidRPr="00F01F39">
              <w:rPr>
                <w:color w:val="auto"/>
                <w:sz w:val="16"/>
                <w:szCs w:val="16"/>
                <w:lang w:val="en-GB"/>
              </w:rPr>
              <w:t>.</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3A6F57">
            <w:pPr>
              <w:pStyle w:val="ListNumber"/>
              <w:tabs>
                <w:tab w:val="clear" w:pos="284"/>
              </w:tabs>
              <w:ind w:left="340" w:hanging="340"/>
              <w:jc w:val="left"/>
              <w:rPr>
                <w:b w:val="0"/>
                <w:color w:val="auto"/>
                <w:sz w:val="16"/>
                <w:szCs w:val="16"/>
                <w:lang w:val="en-GB"/>
              </w:rPr>
            </w:pPr>
            <w:r w:rsidRPr="00F01F39">
              <w:rPr>
                <w:b w:val="0"/>
                <w:color w:val="auto"/>
                <w:sz w:val="16"/>
                <w:szCs w:val="16"/>
                <w:lang w:val="en-GB"/>
              </w:rPr>
              <w:t>If yes to 1</w:t>
            </w:r>
            <w:r w:rsidR="003A6F57" w:rsidRPr="00F01F39">
              <w:rPr>
                <w:b w:val="0"/>
                <w:color w:val="auto"/>
                <w:sz w:val="16"/>
                <w:szCs w:val="16"/>
                <w:lang w:val="en-GB"/>
              </w:rPr>
              <w:t>3</w:t>
            </w:r>
            <w:r w:rsidRPr="00F01F39">
              <w:rPr>
                <w:b w:val="0"/>
                <w:color w:val="auto"/>
                <w:sz w:val="16"/>
                <w:szCs w:val="16"/>
                <w:lang w:val="en-GB"/>
              </w:rPr>
              <w:t>,</w:t>
            </w:r>
          </w:p>
        </w:tc>
        <w:tc>
          <w:tcPr>
            <w:tcW w:w="3933" w:type="dxa"/>
          </w:tcPr>
          <w:p w:rsidR="009E71C6" w:rsidRPr="00F01F39"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5"/>
              </w:numPr>
              <w:ind w:left="709"/>
              <w:jc w:val="left"/>
              <w:rPr>
                <w:b w:val="0"/>
                <w:color w:val="auto"/>
                <w:sz w:val="16"/>
                <w:szCs w:val="16"/>
                <w:lang w:val="en-GB"/>
              </w:rPr>
            </w:pPr>
            <w:r w:rsidRPr="00F01F39">
              <w:rPr>
                <w:b w:val="0"/>
                <w:color w:val="auto"/>
                <w:sz w:val="16"/>
                <w:szCs w:val="16"/>
                <w:lang w:val="en-GB"/>
              </w:rPr>
              <w:lastRenderedPageBreak/>
              <w:t>Does the tax deductibility depend on how the interest income is qualified for tax purposes in the creditor’s state? If yes, please briefly explain.</w:t>
            </w:r>
          </w:p>
        </w:tc>
        <w:tc>
          <w:tcPr>
            <w:tcW w:w="3933" w:type="dxa"/>
          </w:tcPr>
          <w:p w:rsidR="009E71C6" w:rsidRPr="00F01F39" w:rsidRDefault="00F806AA" w:rsidP="00430D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No</w:t>
            </w:r>
            <w:r w:rsidR="007C4B2A" w:rsidRPr="00F01F39">
              <w:rPr>
                <w:color w:val="auto"/>
                <w:sz w:val="16"/>
                <w:szCs w:val="16"/>
                <w:lang w:val="en-GB"/>
              </w:rPr>
              <w:t xml:space="preserve">. </w:t>
            </w:r>
            <w:r w:rsidR="00430D94" w:rsidRPr="00F01F39">
              <w:rPr>
                <w:color w:val="auto"/>
                <w:sz w:val="16"/>
                <w:szCs w:val="16"/>
                <w:lang w:val="en-GB"/>
              </w:rPr>
              <w:t>N</w:t>
            </w:r>
            <w:r w:rsidR="009E75EB" w:rsidRPr="00F01F39">
              <w:rPr>
                <w:color w:val="auto"/>
                <w:sz w:val="16"/>
                <w:szCs w:val="16"/>
                <w:lang w:val="en-GB"/>
              </w:rPr>
              <w:t>o special rules.</w:t>
            </w:r>
            <w:r w:rsidR="00AB7EF0" w:rsidRPr="00F01F39">
              <w:rPr>
                <w:color w:val="auto"/>
                <w:sz w:val="16"/>
                <w:szCs w:val="16"/>
                <w:lang w:val="en-GB"/>
              </w:rPr>
              <w:t xml:space="preserve"> </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5"/>
              </w:numPr>
              <w:ind w:left="709"/>
              <w:jc w:val="left"/>
              <w:rPr>
                <w:b w:val="0"/>
                <w:color w:val="auto"/>
                <w:sz w:val="16"/>
                <w:szCs w:val="16"/>
                <w:lang w:val="en-GB"/>
              </w:rPr>
            </w:pPr>
            <w:r w:rsidRPr="00F01F39">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rsidR="009E71C6" w:rsidRPr="00F01F39" w:rsidRDefault="00430D94" w:rsidP="00430D9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N</w:t>
            </w:r>
            <w:r w:rsidR="008D50C5" w:rsidRPr="00F01F39">
              <w:rPr>
                <w:color w:val="auto"/>
                <w:sz w:val="16"/>
                <w:szCs w:val="16"/>
                <w:lang w:val="en-GB"/>
              </w:rPr>
              <w:t>o special rules.</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color w:val="auto"/>
                <w:sz w:val="16"/>
                <w:szCs w:val="16"/>
                <w:lang w:val="en-GB"/>
              </w:rPr>
            </w:pPr>
            <w:r w:rsidRPr="00F01F39">
              <w:rPr>
                <w:b w:val="0"/>
                <w:color w:val="auto"/>
                <w:sz w:val="16"/>
                <w:szCs w:val="16"/>
                <w:lang w:val="en-GB"/>
              </w:rPr>
              <w:t>Is the tax deduction of interest cost on inter-group debt subject to any thin capitalisation-rules or other interest deduction limitations-rules?</w:t>
            </w:r>
          </w:p>
        </w:tc>
        <w:tc>
          <w:tcPr>
            <w:tcW w:w="3933" w:type="dxa"/>
          </w:tcPr>
          <w:p w:rsidR="009E71C6" w:rsidRPr="00F01F39" w:rsidRDefault="005A7FE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Yes from 2015</w:t>
            </w:r>
            <w:r w:rsidR="00645D9D" w:rsidRPr="00F01F39">
              <w:rPr>
                <w:color w:val="auto"/>
                <w:sz w:val="16"/>
                <w:szCs w:val="16"/>
                <w:lang w:val="en-GB"/>
              </w:rPr>
              <w:t>.</w:t>
            </w:r>
            <w:r w:rsidRPr="00F01F39">
              <w:rPr>
                <w:color w:val="auto"/>
                <w:sz w:val="16"/>
                <w:szCs w:val="16"/>
                <w:lang w:val="en-GB"/>
              </w:rPr>
              <w:t xml:space="preserve"> §21a SITA. </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3A6F57">
            <w:pPr>
              <w:pStyle w:val="ListNumber"/>
              <w:tabs>
                <w:tab w:val="clear" w:pos="284"/>
              </w:tabs>
              <w:ind w:left="340" w:hanging="340"/>
              <w:jc w:val="left"/>
              <w:rPr>
                <w:b w:val="0"/>
                <w:color w:val="auto"/>
                <w:sz w:val="16"/>
                <w:szCs w:val="16"/>
                <w:lang w:val="en-GB"/>
              </w:rPr>
            </w:pPr>
            <w:r w:rsidRPr="00F01F39">
              <w:rPr>
                <w:b w:val="0"/>
                <w:color w:val="auto"/>
                <w:sz w:val="16"/>
                <w:szCs w:val="16"/>
                <w:lang w:val="en-GB"/>
              </w:rPr>
              <w:t>If yes to 1</w:t>
            </w:r>
            <w:r w:rsidR="003A6F57" w:rsidRPr="00F01F39">
              <w:rPr>
                <w:b w:val="0"/>
                <w:color w:val="auto"/>
                <w:sz w:val="16"/>
                <w:szCs w:val="16"/>
                <w:lang w:val="en-GB"/>
              </w:rPr>
              <w:t>5</w:t>
            </w:r>
          </w:p>
        </w:tc>
        <w:tc>
          <w:tcPr>
            <w:tcW w:w="3933" w:type="dxa"/>
          </w:tcPr>
          <w:p w:rsidR="009E71C6" w:rsidRPr="00F01F39"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6"/>
              </w:numPr>
              <w:ind w:left="709"/>
              <w:jc w:val="left"/>
              <w:rPr>
                <w:b w:val="0"/>
                <w:color w:val="auto"/>
                <w:sz w:val="16"/>
                <w:szCs w:val="16"/>
                <w:lang w:val="en-GB"/>
              </w:rPr>
            </w:pPr>
            <w:r w:rsidRPr="00F01F39">
              <w:rPr>
                <w:b w:val="0"/>
                <w:color w:val="auto"/>
                <w:sz w:val="16"/>
                <w:szCs w:val="16"/>
                <w:lang w:val="en-GB"/>
              </w:rPr>
              <w:t>Please briefly explain the general scope and mechanism of the rules.</w:t>
            </w:r>
          </w:p>
        </w:tc>
        <w:tc>
          <w:tcPr>
            <w:tcW w:w="3933" w:type="dxa"/>
          </w:tcPr>
          <w:p w:rsidR="00BE061F" w:rsidRPr="00F01F39" w:rsidRDefault="00BE061F" w:rsidP="00BE061F">
            <w:pPr>
              <w:cnfStyle w:val="000000000000" w:firstRow="0" w:lastRow="0" w:firstColumn="0" w:lastColumn="0" w:oddVBand="0" w:evenVBand="0" w:oddHBand="0" w:evenHBand="0" w:firstRowFirstColumn="0" w:firstRowLastColumn="0" w:lastRowFirstColumn="0" w:lastRowLastColumn="0"/>
              <w:rPr>
                <w:bCs/>
                <w:color w:val="auto"/>
                <w:sz w:val="16"/>
                <w:szCs w:val="16"/>
                <w:lang w:val="en-GB"/>
              </w:rPr>
            </w:pPr>
            <w:r w:rsidRPr="00F01F39">
              <w:rPr>
                <w:bCs/>
                <w:color w:val="auto"/>
                <w:sz w:val="16"/>
                <w:szCs w:val="16"/>
                <w:lang w:val="en-GB"/>
              </w:rPr>
              <w:t xml:space="preserve">At the </w:t>
            </w:r>
            <w:r w:rsidR="00D172F2" w:rsidRPr="00F01F39">
              <w:rPr>
                <w:bCs/>
                <w:color w:val="auto"/>
                <w:sz w:val="16"/>
                <w:szCs w:val="16"/>
                <w:lang w:val="en-GB"/>
              </w:rPr>
              <w:t xml:space="preserve">end </w:t>
            </w:r>
            <w:r w:rsidRPr="00F01F39">
              <w:rPr>
                <w:bCs/>
                <w:color w:val="auto"/>
                <w:sz w:val="16"/>
                <w:szCs w:val="16"/>
                <w:lang w:val="en-GB"/>
              </w:rPr>
              <w:t xml:space="preserve">of the taxable period the following test is done: </w:t>
            </w:r>
          </w:p>
          <w:p w:rsidR="00BE061F" w:rsidRPr="00F01F39" w:rsidRDefault="00BE061F" w:rsidP="00BE061F">
            <w:pPr>
              <w:cnfStyle w:val="000000000000" w:firstRow="0" w:lastRow="0" w:firstColumn="0" w:lastColumn="0" w:oddVBand="0" w:evenVBand="0" w:oddHBand="0" w:evenHBand="0" w:firstRowFirstColumn="0" w:firstRowLastColumn="0" w:lastRowFirstColumn="0" w:lastRowLastColumn="0"/>
              <w:rPr>
                <w:bCs/>
                <w:color w:val="auto"/>
                <w:sz w:val="16"/>
                <w:szCs w:val="16"/>
                <w:lang w:val="en-GB"/>
              </w:rPr>
            </w:pPr>
            <w:r w:rsidRPr="00F01F39">
              <w:rPr>
                <w:bCs/>
                <w:color w:val="auto"/>
                <w:sz w:val="16"/>
                <w:szCs w:val="16"/>
                <w:lang w:val="en-GB"/>
              </w:rPr>
              <w:t xml:space="preserve">25% of the value of the </w:t>
            </w:r>
            <w:r w:rsidRPr="00F01F39">
              <w:rPr>
                <w:bCs/>
                <w:color w:val="auto"/>
                <w:sz w:val="16"/>
                <w:szCs w:val="16"/>
                <w:u w:val="single"/>
                <w:lang w:val="en-GB"/>
              </w:rPr>
              <w:t>indicator</w:t>
            </w:r>
            <w:r w:rsidR="006F537A" w:rsidRPr="00F01F39">
              <w:rPr>
                <w:bCs/>
                <w:color w:val="auto"/>
                <w:sz w:val="16"/>
                <w:szCs w:val="16"/>
                <w:u w:val="single"/>
                <w:lang w:val="en-GB"/>
              </w:rPr>
              <w:t xml:space="preserve"> (EBITDA)</w:t>
            </w:r>
            <w:r w:rsidRPr="00F01F39">
              <w:rPr>
                <w:bCs/>
                <w:color w:val="auto"/>
                <w:sz w:val="16"/>
                <w:szCs w:val="16"/>
                <w:lang w:val="en-GB"/>
              </w:rPr>
              <w:t xml:space="preserve"> calculated as: the sum of the pre-tax accounting profit/loss (reported under local law or under international accounting standards) and of the therein included accounting depreciation charges and interest expense.</w:t>
            </w:r>
          </w:p>
          <w:p w:rsidR="008D50C5" w:rsidRPr="00F01F39" w:rsidRDefault="00BE061F" w:rsidP="008D50C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bCs/>
                <w:color w:val="auto"/>
                <w:sz w:val="16"/>
                <w:szCs w:val="16"/>
                <w:lang w:val="en-GB"/>
              </w:rPr>
              <w:t xml:space="preserve">If the </w:t>
            </w:r>
            <w:r w:rsidR="005A7FE3" w:rsidRPr="00F01F39">
              <w:rPr>
                <w:bCs/>
                <w:color w:val="auto"/>
                <w:sz w:val="16"/>
                <w:szCs w:val="16"/>
                <w:lang w:val="en-GB"/>
              </w:rPr>
              <w:t>interest paid on loans and other costs (expens</w:t>
            </w:r>
            <w:r w:rsidRPr="00F01F39">
              <w:rPr>
                <w:bCs/>
                <w:color w:val="auto"/>
                <w:sz w:val="16"/>
                <w:szCs w:val="16"/>
                <w:lang w:val="en-GB"/>
              </w:rPr>
              <w:t xml:space="preserve">es) relating to received loans exceeds the above indicator, tax deductible is only the part of it up to that indicator. </w:t>
            </w:r>
            <w:r w:rsidR="008D50C5" w:rsidRPr="00F01F39">
              <w:rPr>
                <w:bCs/>
                <w:color w:val="auto"/>
                <w:sz w:val="16"/>
                <w:szCs w:val="16"/>
                <w:lang w:val="en-GB"/>
              </w:rPr>
              <w:t xml:space="preserve">See </w:t>
            </w:r>
            <w:r w:rsidR="008D50C5" w:rsidRPr="00F01F39">
              <w:rPr>
                <w:color w:val="auto"/>
                <w:sz w:val="16"/>
                <w:szCs w:val="16"/>
                <w:lang w:val="en-GB"/>
              </w:rPr>
              <w:t>§21a(1) SITA</w:t>
            </w:r>
          </w:p>
          <w:p w:rsidR="009E71C6" w:rsidRPr="00F01F39" w:rsidRDefault="009E71C6" w:rsidP="00BE061F">
            <w:pPr>
              <w:cnfStyle w:val="000000000000" w:firstRow="0" w:lastRow="0" w:firstColumn="0" w:lastColumn="0" w:oddVBand="0" w:evenVBand="0" w:oddHBand="0" w:evenHBand="0" w:firstRowFirstColumn="0" w:firstRowLastColumn="0" w:lastRowFirstColumn="0" w:lastRowLastColumn="0"/>
              <w:rPr>
                <w:bCs/>
                <w:color w:val="auto"/>
                <w:sz w:val="16"/>
                <w:szCs w:val="16"/>
                <w:lang w:val="en-GB"/>
              </w:rPr>
            </w:pPr>
          </w:p>
          <w:p w:rsidR="0096234E" w:rsidRPr="00F01F39" w:rsidRDefault="0096234E" w:rsidP="00BE061F">
            <w:pPr>
              <w:cnfStyle w:val="000000000000" w:firstRow="0" w:lastRow="0" w:firstColumn="0" w:lastColumn="0" w:oddVBand="0" w:evenVBand="0" w:oddHBand="0" w:evenHBand="0" w:firstRowFirstColumn="0" w:firstRowLastColumn="0" w:lastRowFirstColumn="0" w:lastRowLastColumn="0"/>
              <w:rPr>
                <w:bCs/>
                <w:color w:val="auto"/>
                <w:sz w:val="16"/>
                <w:szCs w:val="16"/>
                <w:lang w:val="en-GB"/>
              </w:rPr>
            </w:pP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6"/>
              </w:numPr>
              <w:ind w:left="709"/>
              <w:jc w:val="left"/>
              <w:rPr>
                <w:b w:val="0"/>
                <w:color w:val="auto"/>
                <w:sz w:val="16"/>
                <w:szCs w:val="16"/>
                <w:lang w:val="en-GB"/>
              </w:rPr>
            </w:pPr>
            <w:r w:rsidRPr="00F01F39">
              <w:rPr>
                <w:b w:val="0"/>
                <w:color w:val="auto"/>
                <w:sz w:val="16"/>
                <w:szCs w:val="16"/>
                <w:lang w:val="en-GB"/>
              </w:rPr>
              <w:t xml:space="preserve">In particular, do the rules apply only to interest costs on inter-group debt or more generally to all interest costs?  </w:t>
            </w:r>
          </w:p>
        </w:tc>
        <w:tc>
          <w:tcPr>
            <w:tcW w:w="3933" w:type="dxa"/>
          </w:tcPr>
          <w:p w:rsidR="009E71C6" w:rsidRPr="00F01F39" w:rsidRDefault="00BE061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Rules</w:t>
            </w:r>
            <w:r w:rsidR="0096234E" w:rsidRPr="00F01F39">
              <w:rPr>
                <w:color w:val="auto"/>
                <w:sz w:val="16"/>
                <w:szCs w:val="16"/>
                <w:lang w:val="en-GB"/>
              </w:rPr>
              <w:t xml:space="preserve"> apply only to inter-group debt (rule does not apply to fi</w:t>
            </w:r>
            <w:r w:rsidR="00AB7EF0" w:rsidRPr="00F01F39">
              <w:rPr>
                <w:color w:val="auto"/>
                <w:sz w:val="16"/>
                <w:szCs w:val="16"/>
                <w:lang w:val="en-GB"/>
              </w:rPr>
              <w:t xml:space="preserve">nancial institutions, banks, </w:t>
            </w:r>
            <w:r w:rsidR="0096234E" w:rsidRPr="00F01F39">
              <w:rPr>
                <w:color w:val="auto"/>
                <w:sz w:val="16"/>
                <w:szCs w:val="16"/>
                <w:lang w:val="en-GB"/>
              </w:rPr>
              <w:t>insurance companies</w:t>
            </w:r>
            <w:r w:rsidR="00AB7EF0" w:rsidRPr="00F01F39">
              <w:rPr>
                <w:color w:val="auto"/>
                <w:sz w:val="16"/>
                <w:szCs w:val="16"/>
                <w:lang w:val="en-GB"/>
              </w:rPr>
              <w:t>, leasing companies and similar financing institutions</w:t>
            </w:r>
            <w:r w:rsidR="0096234E" w:rsidRPr="00F01F39">
              <w:rPr>
                <w:color w:val="auto"/>
                <w:sz w:val="16"/>
                <w:szCs w:val="16"/>
                <w:lang w:val="en-GB"/>
              </w:rPr>
              <w:t>)</w:t>
            </w:r>
          </w:p>
          <w:p w:rsidR="00AB4951" w:rsidRPr="00F01F39" w:rsidRDefault="00AB7EF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If there is a</w:t>
            </w:r>
            <w:r w:rsidR="0096234E" w:rsidRPr="00F01F39">
              <w:rPr>
                <w:color w:val="auto"/>
                <w:sz w:val="16"/>
                <w:szCs w:val="16"/>
                <w:lang w:val="en-GB"/>
              </w:rPr>
              <w:t xml:space="preserve"> non-group </w:t>
            </w:r>
            <w:r w:rsidR="00B96B80" w:rsidRPr="00F01F39">
              <w:rPr>
                <w:color w:val="auto"/>
                <w:sz w:val="16"/>
                <w:szCs w:val="16"/>
                <w:lang w:val="en-GB"/>
              </w:rPr>
              <w:t>intermediary</w:t>
            </w:r>
            <w:r w:rsidR="0096234E" w:rsidRPr="00F01F39">
              <w:rPr>
                <w:color w:val="auto"/>
                <w:sz w:val="16"/>
                <w:szCs w:val="16"/>
                <w:lang w:val="en-GB"/>
              </w:rPr>
              <w:t xml:space="preserve"> company between creditor and debtor, the loan is considered to be between group members. §21a(2) SITA</w:t>
            </w:r>
          </w:p>
          <w:p w:rsidR="00AB4951" w:rsidRPr="00F01F39" w:rsidRDefault="00AB495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AB4951" w:rsidRPr="00F01F39" w:rsidRDefault="00AB495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387B75">
            <w:pPr>
              <w:pStyle w:val="ListNumber"/>
              <w:numPr>
                <w:ilvl w:val="0"/>
                <w:numId w:val="26"/>
              </w:numPr>
              <w:ind w:left="709"/>
              <w:jc w:val="left"/>
              <w:rPr>
                <w:b w:val="0"/>
                <w:color w:val="auto"/>
                <w:sz w:val="16"/>
                <w:szCs w:val="16"/>
                <w:lang w:val="en-GB"/>
              </w:rPr>
            </w:pPr>
            <w:r w:rsidRPr="00F01F39">
              <w:rPr>
                <w:b w:val="0"/>
                <w:color w:val="auto"/>
                <w:sz w:val="16"/>
                <w:szCs w:val="16"/>
                <w:lang w:val="en-GB"/>
              </w:rPr>
              <w:t xml:space="preserve">Do the rules take into account the </w:t>
            </w:r>
            <w:r w:rsidR="00387B75" w:rsidRPr="00F01F39">
              <w:rPr>
                <w:b w:val="0"/>
                <w:color w:val="auto"/>
                <w:sz w:val="16"/>
                <w:szCs w:val="16"/>
                <w:lang w:val="en-GB"/>
              </w:rPr>
              <w:t>worldwide</w:t>
            </w:r>
            <w:r w:rsidRPr="00F01F39">
              <w:rPr>
                <w:b w:val="0"/>
                <w:color w:val="auto"/>
                <w:sz w:val="16"/>
                <w:szCs w:val="16"/>
                <w:lang w:val="en-GB"/>
              </w:rPr>
              <w:t xml:space="preserve"> debt ratio of the group of companies?</w:t>
            </w:r>
          </w:p>
        </w:tc>
        <w:tc>
          <w:tcPr>
            <w:tcW w:w="3933" w:type="dxa"/>
          </w:tcPr>
          <w:p w:rsidR="009E71C6" w:rsidRPr="00F01F39" w:rsidRDefault="00BE061F"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No. </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6"/>
              </w:numPr>
              <w:ind w:left="709"/>
              <w:jc w:val="left"/>
              <w:rPr>
                <w:b w:val="0"/>
                <w:color w:val="auto"/>
                <w:sz w:val="16"/>
                <w:szCs w:val="16"/>
                <w:lang w:val="en-GB"/>
              </w:rPr>
            </w:pPr>
            <w:r w:rsidRPr="00F01F39">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rsidR="009E71C6" w:rsidRPr="00F01F39" w:rsidRDefault="008D50C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It is potentially effective with the exception of financial </w:t>
            </w:r>
            <w:r w:rsidR="00381F50" w:rsidRPr="00F01F39">
              <w:rPr>
                <w:color w:val="auto"/>
                <w:sz w:val="16"/>
                <w:szCs w:val="16"/>
                <w:lang w:val="en-GB"/>
              </w:rPr>
              <w:t xml:space="preserve">institutions. </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color w:val="auto"/>
                <w:sz w:val="16"/>
                <w:szCs w:val="16"/>
                <w:lang w:val="en-GB"/>
              </w:rPr>
            </w:pPr>
            <w:r w:rsidRPr="00F01F39">
              <w:rPr>
                <w:b w:val="0"/>
                <w:color w:val="auto"/>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w:t>
            </w:r>
            <w:r w:rsidR="00CA23FD" w:rsidRPr="00F01F39">
              <w:rPr>
                <w:b w:val="0"/>
                <w:color w:val="auto"/>
                <w:sz w:val="16"/>
                <w:szCs w:val="16"/>
                <w:lang w:val="en-GB"/>
              </w:rPr>
              <w:t>o. 4 and assume that FinanceCo D</w:t>
            </w:r>
            <w:r w:rsidRPr="00F01F39">
              <w:rPr>
                <w:b w:val="0"/>
                <w:color w:val="auto"/>
                <w:sz w:val="16"/>
                <w:szCs w:val="16"/>
                <w:lang w:val="en-GB"/>
              </w:rPr>
              <w:t xml:space="preserve"> is tax resident in your MS.</w:t>
            </w:r>
            <w:r w:rsidR="00715402" w:rsidRPr="00F01F39">
              <w:rPr>
                <w:b w:val="0"/>
                <w:color w:val="auto"/>
                <w:sz w:val="16"/>
                <w:szCs w:val="16"/>
                <w:lang w:val="en-GB"/>
              </w:rPr>
              <w:t xml:space="preserve"> Moreover, please explain whether any deemed deduction would be contingent on a corresponding adjustment in the foreign state.</w:t>
            </w:r>
          </w:p>
        </w:tc>
        <w:tc>
          <w:tcPr>
            <w:tcW w:w="3933" w:type="dxa"/>
          </w:tcPr>
          <w:p w:rsidR="009E71C6" w:rsidRPr="00F01F39" w:rsidRDefault="00EC643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In general n</w:t>
            </w:r>
            <w:r w:rsidR="008D50C5" w:rsidRPr="00F01F39">
              <w:rPr>
                <w:color w:val="auto"/>
                <w:sz w:val="16"/>
                <w:szCs w:val="16"/>
                <w:lang w:val="en-GB"/>
              </w:rPr>
              <w:t xml:space="preserve">o, but could be contingent </w:t>
            </w:r>
            <w:r w:rsidR="0097415B" w:rsidRPr="00F01F39">
              <w:rPr>
                <w:color w:val="auto"/>
                <w:sz w:val="16"/>
                <w:szCs w:val="16"/>
                <w:lang w:val="en-GB"/>
              </w:rPr>
              <w:t xml:space="preserve">for corresponding adjustment. </w:t>
            </w:r>
          </w:p>
          <w:p w:rsidR="00EC6433" w:rsidRPr="00F01F39" w:rsidRDefault="00EC6433" w:rsidP="0011457D">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F01F39">
              <w:rPr>
                <w:color w:val="auto"/>
                <w:sz w:val="16"/>
                <w:szCs w:val="16"/>
                <w:lang w:val="en-GB"/>
              </w:rPr>
              <w:t>Under §17(6) SITA, the adjustment of the tax base</w:t>
            </w:r>
            <w:r w:rsidR="004E2B0D" w:rsidRPr="00F01F39">
              <w:rPr>
                <w:color w:val="auto"/>
                <w:sz w:val="16"/>
                <w:szCs w:val="16"/>
                <w:lang w:val="en-GB"/>
              </w:rPr>
              <w:t xml:space="preserve"> </w:t>
            </w:r>
            <w:r w:rsidR="00465E96" w:rsidRPr="00F01F39">
              <w:rPr>
                <w:color w:val="auto"/>
                <w:sz w:val="16"/>
                <w:szCs w:val="16"/>
                <w:lang w:val="en-GB"/>
              </w:rPr>
              <w:t xml:space="preserve">of a non-resident related party in the territory of the Slovak Republic </w:t>
            </w:r>
            <w:r w:rsidR="004E2B0D" w:rsidRPr="00F01F39">
              <w:rPr>
                <w:color w:val="auto"/>
                <w:sz w:val="16"/>
                <w:szCs w:val="16"/>
                <w:lang w:val="en-GB"/>
              </w:rPr>
              <w:t xml:space="preserve">shall be </w:t>
            </w:r>
            <w:r w:rsidRPr="00F01F39">
              <w:rPr>
                <w:color w:val="auto"/>
                <w:sz w:val="16"/>
                <w:szCs w:val="16"/>
                <w:lang w:val="en-GB"/>
              </w:rPr>
              <w:t>authorized by the tax administration, provided that the tax administration of the</w:t>
            </w:r>
            <w:r w:rsidR="004E2B0D" w:rsidRPr="00F01F39">
              <w:rPr>
                <w:color w:val="auto"/>
                <w:sz w:val="16"/>
                <w:szCs w:val="16"/>
                <w:lang w:val="en-GB"/>
              </w:rPr>
              <w:t xml:space="preserve"> country, with which the Slovakia has entered into a DTC</w:t>
            </w:r>
            <w:r w:rsidRPr="00F01F39">
              <w:rPr>
                <w:color w:val="auto"/>
                <w:sz w:val="16"/>
                <w:szCs w:val="16"/>
                <w:lang w:val="en-GB"/>
              </w:rPr>
              <w:t>, proceeds to an adjustment of th</w:t>
            </w:r>
            <w:r w:rsidR="004E2B0D" w:rsidRPr="00F01F39">
              <w:rPr>
                <w:color w:val="auto"/>
                <w:sz w:val="16"/>
                <w:szCs w:val="16"/>
                <w:lang w:val="en-GB"/>
              </w:rPr>
              <w:t xml:space="preserve">e tax base of the related party </w:t>
            </w:r>
            <w:r w:rsidRPr="00F01F39">
              <w:rPr>
                <w:color w:val="auto"/>
                <w:sz w:val="16"/>
                <w:szCs w:val="16"/>
                <w:lang w:val="en-GB"/>
              </w:rPr>
              <w:t>abroad which is in compliance with the arm’s length principle</w:t>
            </w:r>
            <w:r w:rsidR="004E2B0D" w:rsidRPr="00F01F39">
              <w:rPr>
                <w:color w:val="auto"/>
                <w:sz w:val="16"/>
                <w:szCs w:val="16"/>
                <w:lang w:val="en-GB"/>
              </w:rPr>
              <w:t>.</w:t>
            </w:r>
            <w:r w:rsidRPr="00F01F39">
              <w:rPr>
                <w:color w:val="auto"/>
                <w:sz w:val="16"/>
                <w:szCs w:val="16"/>
                <w:lang w:val="en-GB"/>
              </w:rPr>
              <w:t xml:space="preserve"> A</w:t>
            </w:r>
            <w:r w:rsidR="004E2B0D" w:rsidRPr="00F01F39">
              <w:rPr>
                <w:color w:val="auto"/>
                <w:sz w:val="16"/>
                <w:szCs w:val="16"/>
                <w:lang w:val="en-GB"/>
              </w:rPr>
              <w:t> </w:t>
            </w:r>
            <w:r w:rsidRPr="00F01F39">
              <w:rPr>
                <w:color w:val="auto"/>
                <w:sz w:val="16"/>
                <w:szCs w:val="16"/>
                <w:lang w:val="en-GB"/>
              </w:rPr>
              <w:t>written</w:t>
            </w:r>
            <w:r w:rsidR="004E2B0D" w:rsidRPr="00F01F39">
              <w:rPr>
                <w:color w:val="auto"/>
                <w:sz w:val="16"/>
                <w:szCs w:val="16"/>
                <w:lang w:val="en-GB"/>
              </w:rPr>
              <w:t xml:space="preserve"> </w:t>
            </w:r>
            <w:r w:rsidRPr="00F01F39">
              <w:rPr>
                <w:color w:val="auto"/>
                <w:sz w:val="16"/>
                <w:szCs w:val="16"/>
                <w:lang w:val="en-GB"/>
              </w:rPr>
              <w:t xml:space="preserve">notice shall be given by the tax administration to </w:t>
            </w:r>
            <w:r w:rsidR="0011457D" w:rsidRPr="00F01F39">
              <w:rPr>
                <w:color w:val="auto"/>
                <w:sz w:val="16"/>
                <w:szCs w:val="16"/>
                <w:lang w:val="en-GB"/>
              </w:rPr>
              <w:t>the taxpayer</w:t>
            </w:r>
            <w:r w:rsidR="004E2B0D" w:rsidRPr="00F01F39">
              <w:rPr>
                <w:color w:val="auto"/>
                <w:sz w:val="16"/>
                <w:szCs w:val="16"/>
                <w:lang w:val="en-GB"/>
              </w:rPr>
              <w:t xml:space="preserve"> </w:t>
            </w:r>
            <w:r w:rsidRPr="00F01F39">
              <w:rPr>
                <w:color w:val="auto"/>
                <w:sz w:val="16"/>
                <w:szCs w:val="16"/>
                <w:lang w:val="en-GB"/>
              </w:rPr>
              <w:t>to that effect</w:t>
            </w:r>
            <w:r w:rsidR="004E2B0D" w:rsidRPr="00F01F39">
              <w:rPr>
                <w:color w:val="auto"/>
                <w:sz w:val="16"/>
                <w:szCs w:val="16"/>
                <w:lang w:val="en-GB"/>
              </w:rPr>
              <w:t xml:space="preserve">. </w:t>
            </w:r>
          </w:p>
          <w:p w:rsidR="00EC6433" w:rsidRPr="00F01F39" w:rsidRDefault="00EC643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color w:val="auto"/>
                <w:sz w:val="16"/>
                <w:szCs w:val="16"/>
                <w:lang w:val="en-GB"/>
              </w:rPr>
            </w:pPr>
            <w:r w:rsidRPr="00F01F39">
              <w:rPr>
                <w:b w:val="0"/>
                <w:color w:val="auto"/>
                <w:sz w:val="16"/>
                <w:szCs w:val="16"/>
                <w:lang w:val="en-GB"/>
              </w:rPr>
              <w:t xml:space="preserve">Would the benefit of such a loan compared to a normal </w:t>
            </w:r>
            <w:r w:rsidR="00A30052" w:rsidRPr="00F01F39">
              <w:rPr>
                <w:b w:val="0"/>
                <w:color w:val="auto"/>
                <w:sz w:val="16"/>
                <w:szCs w:val="16"/>
                <w:lang w:val="en-GB"/>
              </w:rPr>
              <w:t>interest-bearing</w:t>
            </w:r>
            <w:r w:rsidRPr="00F01F39">
              <w:rPr>
                <w:b w:val="0"/>
                <w:color w:val="auto"/>
                <w:sz w:val="16"/>
                <w:szCs w:val="16"/>
                <w:lang w:val="en-GB"/>
              </w:rPr>
              <w:t xml:space="preserve"> loan on arm’s length conditions be taxable to the debtor company in your MS? If yes, how?</w:t>
            </w:r>
          </w:p>
        </w:tc>
        <w:tc>
          <w:tcPr>
            <w:tcW w:w="3933" w:type="dxa"/>
          </w:tcPr>
          <w:p w:rsidR="009E71C6" w:rsidRPr="00F01F39" w:rsidRDefault="004C2C29" w:rsidP="001145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It could be, if the taxation of non-monetary benefits rule is applied strictl</w:t>
            </w:r>
            <w:r w:rsidR="0097415B" w:rsidRPr="00F01F39">
              <w:rPr>
                <w:color w:val="auto"/>
                <w:sz w:val="16"/>
                <w:szCs w:val="16"/>
                <w:lang w:val="en-GB"/>
              </w:rPr>
              <w:t>y, but there is no explicit rule and neither official guidance on this matter.</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color w:val="auto"/>
                <w:sz w:val="16"/>
                <w:szCs w:val="16"/>
                <w:lang w:val="en-GB"/>
              </w:rPr>
            </w:pPr>
            <w:r w:rsidRPr="00F01F39">
              <w:rPr>
                <w:b w:val="0"/>
                <w:color w:val="auto"/>
                <w:sz w:val="16"/>
                <w:szCs w:val="16"/>
                <w:lang w:val="en-GB"/>
              </w:rPr>
              <w:t>Does your MS levy any withholding tax on interest payments?</w:t>
            </w:r>
          </w:p>
        </w:tc>
        <w:tc>
          <w:tcPr>
            <w:tcW w:w="3933" w:type="dxa"/>
          </w:tcPr>
          <w:p w:rsidR="009E71C6" w:rsidRPr="00F01F39" w:rsidRDefault="00645D9D" w:rsidP="003B425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Yes</w:t>
            </w:r>
            <w:r w:rsidR="00766AB2" w:rsidRPr="00F01F39">
              <w:rPr>
                <w:color w:val="auto"/>
                <w:sz w:val="16"/>
                <w:szCs w:val="16"/>
                <w:lang w:val="en-GB"/>
              </w:rPr>
              <w:t xml:space="preserve">, except for </w:t>
            </w:r>
            <w:r w:rsidR="003B4258" w:rsidRPr="00F01F39">
              <w:rPr>
                <w:color w:val="auto"/>
                <w:sz w:val="16"/>
                <w:szCs w:val="16"/>
                <w:lang w:val="en-GB"/>
              </w:rPr>
              <w:t>income</w:t>
            </w:r>
            <w:r w:rsidR="00766AB2" w:rsidRPr="00F01F39">
              <w:rPr>
                <w:color w:val="auto"/>
                <w:sz w:val="16"/>
                <w:szCs w:val="16"/>
                <w:lang w:val="en-GB"/>
              </w:rPr>
              <w:t xml:space="preserve"> from bonds and </w:t>
            </w:r>
            <w:r w:rsidR="003B4258" w:rsidRPr="00F01F39">
              <w:rPr>
                <w:color w:val="auto"/>
                <w:sz w:val="16"/>
                <w:szCs w:val="16"/>
                <w:lang w:val="en-GB"/>
              </w:rPr>
              <w:t>bills of credit</w:t>
            </w:r>
            <w:r w:rsidR="00766AB2" w:rsidRPr="00F01F39">
              <w:rPr>
                <w:color w:val="auto"/>
                <w:sz w:val="16"/>
                <w:szCs w:val="16"/>
                <w:lang w:val="en-GB"/>
              </w:rPr>
              <w:t>. § 16(1)(e) (3) SITA</w:t>
            </w:r>
            <w:r w:rsidR="0097415B" w:rsidRPr="00F01F39">
              <w:rPr>
                <w:color w:val="auto"/>
                <w:sz w:val="16"/>
                <w:szCs w:val="16"/>
                <w:lang w:val="en-GB"/>
              </w:rPr>
              <w:t xml:space="preserve"> (Exemption – Interest and Royalty Directive)</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3A6F57">
            <w:pPr>
              <w:pStyle w:val="ListNumber"/>
              <w:tabs>
                <w:tab w:val="clear" w:pos="284"/>
              </w:tabs>
              <w:ind w:left="340" w:hanging="340"/>
              <w:jc w:val="left"/>
              <w:rPr>
                <w:b w:val="0"/>
                <w:color w:val="auto"/>
                <w:sz w:val="16"/>
                <w:szCs w:val="16"/>
                <w:lang w:val="en-GB"/>
              </w:rPr>
            </w:pPr>
            <w:r w:rsidRPr="00F01F39">
              <w:rPr>
                <w:b w:val="0"/>
                <w:color w:val="auto"/>
                <w:sz w:val="16"/>
                <w:szCs w:val="16"/>
                <w:lang w:val="en-GB"/>
              </w:rPr>
              <w:t>If yes to 1</w:t>
            </w:r>
            <w:r w:rsidR="003A6F57" w:rsidRPr="00F01F39">
              <w:rPr>
                <w:b w:val="0"/>
                <w:color w:val="auto"/>
                <w:sz w:val="16"/>
                <w:szCs w:val="16"/>
                <w:lang w:val="en-GB"/>
              </w:rPr>
              <w:t>9</w:t>
            </w:r>
          </w:p>
        </w:tc>
        <w:tc>
          <w:tcPr>
            <w:tcW w:w="3933" w:type="dxa"/>
          </w:tcPr>
          <w:p w:rsidR="009E71C6" w:rsidRPr="00F01F39"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7"/>
              </w:numPr>
              <w:ind w:left="709"/>
              <w:jc w:val="left"/>
              <w:rPr>
                <w:b w:val="0"/>
                <w:color w:val="auto"/>
                <w:sz w:val="16"/>
                <w:szCs w:val="16"/>
                <w:lang w:val="en-GB"/>
              </w:rPr>
            </w:pPr>
            <w:r w:rsidRPr="00F01F39">
              <w:rPr>
                <w:b w:val="0"/>
                <w:color w:val="auto"/>
                <w:sz w:val="16"/>
                <w:szCs w:val="16"/>
                <w:lang w:val="en-GB"/>
              </w:rPr>
              <w:t xml:space="preserve">What is the rate of withholding tax (ignoring tax </w:t>
            </w:r>
            <w:r w:rsidRPr="00F01F39">
              <w:rPr>
                <w:b w:val="0"/>
                <w:color w:val="auto"/>
                <w:sz w:val="16"/>
                <w:szCs w:val="16"/>
                <w:lang w:val="en-GB"/>
              </w:rPr>
              <w:lastRenderedPageBreak/>
              <w:t>treaties)?</w:t>
            </w:r>
          </w:p>
        </w:tc>
        <w:tc>
          <w:tcPr>
            <w:tcW w:w="3933" w:type="dxa"/>
          </w:tcPr>
          <w:p w:rsidR="009E71C6" w:rsidRPr="00F01F39" w:rsidRDefault="00645D9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lastRenderedPageBreak/>
              <w:t>19%</w:t>
            </w:r>
            <w:r w:rsidR="004E2B0D" w:rsidRPr="00F01F39">
              <w:rPr>
                <w:color w:val="auto"/>
                <w:sz w:val="16"/>
                <w:szCs w:val="16"/>
                <w:lang w:val="en-GB"/>
              </w:rPr>
              <w:t xml:space="preserve"> (or 35% - see Question 20. c))</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7"/>
              </w:numPr>
              <w:ind w:left="709"/>
              <w:jc w:val="left"/>
              <w:rPr>
                <w:b w:val="0"/>
                <w:color w:val="auto"/>
                <w:sz w:val="16"/>
                <w:szCs w:val="16"/>
                <w:lang w:val="en-GB"/>
              </w:rPr>
            </w:pPr>
            <w:r w:rsidRPr="00F01F39">
              <w:rPr>
                <w:b w:val="0"/>
                <w:color w:val="auto"/>
                <w:sz w:val="16"/>
                <w:szCs w:val="16"/>
                <w:lang w:val="en-GB"/>
              </w:rPr>
              <w:lastRenderedPageBreak/>
              <w:t xml:space="preserve">Are there special withholding tax rules for interest paid on a loan from a group member company? </w:t>
            </w:r>
          </w:p>
        </w:tc>
        <w:tc>
          <w:tcPr>
            <w:tcW w:w="3933" w:type="dxa"/>
          </w:tcPr>
          <w:p w:rsidR="009E71C6" w:rsidRPr="00F01F39" w:rsidRDefault="004E2B0D" w:rsidP="004E2B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Yes (considering (i) Interest</w:t>
            </w:r>
            <w:r w:rsidR="0065560A" w:rsidRPr="00F01F39">
              <w:rPr>
                <w:color w:val="auto"/>
                <w:sz w:val="16"/>
                <w:szCs w:val="16"/>
                <w:lang w:val="en-GB"/>
              </w:rPr>
              <w:t xml:space="preserve"> </w:t>
            </w:r>
            <w:r w:rsidRPr="00F01F39">
              <w:rPr>
                <w:color w:val="auto"/>
                <w:sz w:val="16"/>
                <w:szCs w:val="16"/>
                <w:lang w:val="en-GB"/>
              </w:rPr>
              <w:t>&amp;</w:t>
            </w:r>
            <w:r w:rsidR="0065560A" w:rsidRPr="00F01F39">
              <w:rPr>
                <w:color w:val="auto"/>
                <w:sz w:val="16"/>
                <w:szCs w:val="16"/>
                <w:lang w:val="en-GB"/>
              </w:rPr>
              <w:t xml:space="preserve"> </w:t>
            </w:r>
            <w:r w:rsidRPr="00F01F39">
              <w:rPr>
                <w:color w:val="auto"/>
                <w:sz w:val="16"/>
                <w:szCs w:val="16"/>
                <w:lang w:val="en-GB"/>
              </w:rPr>
              <w:t>Royalties Directive – if the shareholding interest is over 25% for at least 2 years – no WHT</w:t>
            </w:r>
            <w:r w:rsidR="00AB4951" w:rsidRPr="00F01F39">
              <w:rPr>
                <w:color w:val="auto"/>
                <w:sz w:val="16"/>
                <w:szCs w:val="16"/>
                <w:lang w:val="en-GB"/>
              </w:rPr>
              <w:t xml:space="preserve"> (§13(2)(f) SITA)</w:t>
            </w:r>
            <w:r w:rsidRPr="00F01F39">
              <w:rPr>
                <w:color w:val="auto"/>
                <w:sz w:val="16"/>
                <w:szCs w:val="16"/>
                <w:lang w:val="en-GB"/>
              </w:rPr>
              <w:t>; (ii) DTC – taxation only up to the tax rate applicable in DTC)</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7"/>
              </w:numPr>
              <w:ind w:left="709"/>
              <w:jc w:val="left"/>
              <w:rPr>
                <w:b w:val="0"/>
                <w:color w:val="auto"/>
                <w:sz w:val="16"/>
                <w:szCs w:val="16"/>
                <w:lang w:val="en-GB"/>
              </w:rPr>
            </w:pPr>
            <w:r w:rsidRPr="00F01F39">
              <w:rPr>
                <w:b w:val="0"/>
                <w:color w:val="auto"/>
                <w:sz w:val="16"/>
                <w:szCs w:val="16"/>
                <w:lang w:val="en-GB"/>
              </w:rPr>
              <w:t xml:space="preserve">Does this apply regardless of the tax residence of the creditor company, e.g. member state, treaty state, tax haven? </w:t>
            </w:r>
          </w:p>
        </w:tc>
        <w:tc>
          <w:tcPr>
            <w:tcW w:w="3933" w:type="dxa"/>
          </w:tcPr>
          <w:p w:rsidR="009E71C6" w:rsidRPr="00F01F39" w:rsidRDefault="0066071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This exemption applies only to companies resident in EU. Moreover a</w:t>
            </w:r>
            <w:r w:rsidR="00645D9D" w:rsidRPr="00F01F39">
              <w:rPr>
                <w:color w:val="auto"/>
                <w:sz w:val="16"/>
                <w:szCs w:val="16"/>
                <w:lang w:val="en-GB"/>
              </w:rPr>
              <w:t xml:space="preserve"> rate of 35% applies if interest is paid out</w:t>
            </w:r>
            <w:r w:rsidR="00B37A74" w:rsidRPr="00F01F39">
              <w:rPr>
                <w:color w:val="auto"/>
                <w:sz w:val="16"/>
                <w:szCs w:val="16"/>
                <w:lang w:val="en-GB"/>
              </w:rPr>
              <w:t>, remitted or credited</w:t>
            </w:r>
            <w:r w:rsidR="00645D9D" w:rsidRPr="00F01F39">
              <w:rPr>
                <w:color w:val="auto"/>
                <w:sz w:val="16"/>
                <w:szCs w:val="16"/>
                <w:lang w:val="en-GB"/>
              </w:rPr>
              <w:t xml:space="preserve"> to the recipient who is a resident of a non-contracting state (i.e. a state which is not included in the “white list” published by the Slovak Ministry of Finance).</w:t>
            </w:r>
            <w:r w:rsidR="003032A6" w:rsidRPr="00F01F39">
              <w:rPr>
                <w:color w:val="auto"/>
                <w:sz w:val="16"/>
                <w:szCs w:val="16"/>
                <w:lang w:val="en-GB"/>
              </w:rPr>
              <w:t xml:space="preserve"> §43(1) SITA. </w:t>
            </w:r>
          </w:p>
          <w:p w:rsidR="00645D9D" w:rsidRPr="00F01F39" w:rsidRDefault="00645D9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645D9D" w:rsidRPr="00F01F39" w:rsidRDefault="003032A6" w:rsidP="00B37A7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“W</w:t>
            </w:r>
            <w:r w:rsidR="00645D9D" w:rsidRPr="00F01F39">
              <w:rPr>
                <w:color w:val="auto"/>
                <w:sz w:val="16"/>
                <w:szCs w:val="16"/>
                <w:lang w:val="en-GB"/>
              </w:rPr>
              <w:t>hite list</w:t>
            </w:r>
            <w:r w:rsidRPr="00F01F39">
              <w:rPr>
                <w:color w:val="auto"/>
                <w:sz w:val="16"/>
                <w:szCs w:val="16"/>
                <w:lang w:val="en-GB"/>
              </w:rPr>
              <w:t xml:space="preserve">” (i.e. the list of </w:t>
            </w:r>
            <w:r w:rsidR="00B37A74" w:rsidRPr="00F01F39">
              <w:rPr>
                <w:color w:val="auto"/>
                <w:sz w:val="16"/>
                <w:szCs w:val="16"/>
                <w:lang w:val="en-GB"/>
              </w:rPr>
              <w:t xml:space="preserve">states </w:t>
            </w:r>
            <w:r w:rsidRPr="00F01F39">
              <w:rPr>
                <w:color w:val="auto"/>
                <w:sz w:val="16"/>
                <w:szCs w:val="16"/>
                <w:lang w:val="en-GB"/>
              </w:rPr>
              <w:t>with which Slovakia has concluded DTC</w:t>
            </w:r>
            <w:r w:rsidR="00B96B80" w:rsidRPr="00F01F39">
              <w:rPr>
                <w:color w:val="auto"/>
                <w:sz w:val="16"/>
                <w:szCs w:val="16"/>
                <w:lang w:val="en-GB"/>
              </w:rPr>
              <w:t xml:space="preserve"> or international agreement </w:t>
            </w:r>
            <w:r w:rsidR="00B37A74" w:rsidRPr="00F01F39">
              <w:rPr>
                <w:color w:val="auto"/>
                <w:sz w:val="16"/>
                <w:szCs w:val="16"/>
                <w:lang w:val="en-GB"/>
              </w:rPr>
              <w:t xml:space="preserve"> on the exchange of tax information or a state which is party to an international treaty providing for the exchange of information for tax purposes, by which this state and the Slovak Republic are bound</w:t>
            </w:r>
            <w:r w:rsidR="00B96B80" w:rsidRPr="00F01F39">
              <w:rPr>
                <w:color w:val="auto"/>
                <w:sz w:val="16"/>
                <w:szCs w:val="16"/>
                <w:lang w:val="en-GB"/>
              </w:rPr>
              <w:t>)</w:t>
            </w:r>
            <w:r w:rsidRPr="00F01F39">
              <w:rPr>
                <w:color w:val="auto"/>
                <w:sz w:val="16"/>
                <w:szCs w:val="16"/>
                <w:lang w:val="en-GB"/>
              </w:rPr>
              <w:t xml:space="preserve"> is attached</w:t>
            </w:r>
            <w:r w:rsidR="00926B9B" w:rsidRPr="00F01F39">
              <w:rPr>
                <w:color w:val="auto"/>
                <w:sz w:val="16"/>
                <w:szCs w:val="16"/>
                <w:lang w:val="en-GB"/>
              </w:rPr>
              <w:t xml:space="preserve"> (valid version only available in Slovak language)</w:t>
            </w:r>
            <w:r w:rsidRPr="00F01F39">
              <w:rPr>
                <w:color w:val="auto"/>
                <w:sz w:val="16"/>
                <w:szCs w:val="16"/>
                <w:lang w:val="en-GB"/>
              </w:rPr>
              <w:t xml:space="preserve">. </w:t>
            </w:r>
            <w:r w:rsidR="00926B9B" w:rsidRPr="00F01F39">
              <w:rPr>
                <w:color w:val="auto"/>
                <w:sz w:val="16"/>
                <w:szCs w:val="16"/>
                <w:lang w:val="en-GB"/>
              </w:rPr>
              <w:t xml:space="preserve">It is published on the website of </w:t>
            </w:r>
            <w:r w:rsidR="00B37A74" w:rsidRPr="00F01F39">
              <w:rPr>
                <w:color w:val="auto"/>
                <w:sz w:val="16"/>
                <w:szCs w:val="16"/>
                <w:lang w:val="en-GB"/>
              </w:rPr>
              <w:t xml:space="preserve">the </w:t>
            </w:r>
            <w:r w:rsidR="00926B9B" w:rsidRPr="00F01F39">
              <w:rPr>
                <w:color w:val="auto"/>
                <w:sz w:val="16"/>
                <w:szCs w:val="16"/>
                <w:lang w:val="en-GB"/>
              </w:rPr>
              <w:t>Ministry of Finance</w:t>
            </w:r>
            <w:r w:rsidR="00B37A74" w:rsidRPr="00F01F39">
              <w:rPr>
                <w:color w:val="auto"/>
                <w:sz w:val="16"/>
                <w:szCs w:val="16"/>
                <w:lang w:val="en-GB"/>
              </w:rPr>
              <w:t xml:space="preserve"> of the Slovak Republic</w:t>
            </w:r>
            <w:r w:rsidR="00926B9B" w:rsidRPr="00F01F39">
              <w:rPr>
                <w:color w:val="auto"/>
                <w:sz w:val="16"/>
                <w:szCs w:val="16"/>
                <w:lang w:val="en-GB"/>
              </w:rPr>
              <w:t xml:space="preserve"> (acc. to §2x SITA)</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7"/>
              </w:numPr>
              <w:ind w:left="709"/>
              <w:jc w:val="left"/>
              <w:rPr>
                <w:b w:val="0"/>
                <w:color w:val="auto"/>
                <w:sz w:val="16"/>
                <w:szCs w:val="16"/>
                <w:lang w:val="en-GB"/>
              </w:rPr>
            </w:pPr>
            <w:r w:rsidRPr="00F01F39">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9E71C6" w:rsidRPr="00F01F39" w:rsidRDefault="003032A6" w:rsidP="0066071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Yes. </w:t>
            </w:r>
            <w:r w:rsidR="0066071D" w:rsidRPr="00F01F39">
              <w:rPr>
                <w:color w:val="auto"/>
                <w:sz w:val="16"/>
                <w:szCs w:val="16"/>
                <w:lang w:val="en-GB"/>
              </w:rPr>
              <w:t>However</w:t>
            </w:r>
            <w:r w:rsidR="00DD4B70" w:rsidRPr="00F01F39">
              <w:rPr>
                <w:color w:val="auto"/>
                <w:sz w:val="16"/>
                <w:szCs w:val="16"/>
                <w:lang w:val="en-GB"/>
              </w:rPr>
              <w:t xml:space="preserve">, a very special exception mentioned under Question 19 applies </w:t>
            </w:r>
            <w:r w:rsidR="0066071D" w:rsidRPr="00F01F39">
              <w:rPr>
                <w:color w:val="auto"/>
                <w:sz w:val="16"/>
                <w:szCs w:val="16"/>
                <w:lang w:val="en-GB"/>
              </w:rPr>
              <w:t>to</w:t>
            </w:r>
            <w:r w:rsidR="00DD4B70" w:rsidRPr="00F01F39">
              <w:rPr>
                <w:color w:val="auto"/>
                <w:sz w:val="16"/>
                <w:szCs w:val="16"/>
                <w:lang w:val="en-GB"/>
              </w:rPr>
              <w:t xml:space="preserve"> interest payments even if paid to a </w:t>
            </w:r>
            <w:r w:rsidR="0066071D" w:rsidRPr="00F01F39">
              <w:rPr>
                <w:color w:val="auto"/>
                <w:sz w:val="16"/>
                <w:szCs w:val="16"/>
                <w:lang w:val="en-GB"/>
              </w:rPr>
              <w:t>recipient in jurisdiction outside of the white list.</w:t>
            </w:r>
            <w:r w:rsidR="00DD4B70" w:rsidRPr="00F01F39">
              <w:rPr>
                <w:color w:val="auto"/>
                <w:sz w:val="16"/>
                <w:szCs w:val="16"/>
                <w:lang w:val="en-GB"/>
              </w:rPr>
              <w:t xml:space="preserve"> </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7"/>
              </w:numPr>
              <w:ind w:left="709"/>
              <w:jc w:val="left"/>
              <w:rPr>
                <w:b w:val="0"/>
                <w:color w:val="auto"/>
                <w:sz w:val="16"/>
                <w:szCs w:val="16"/>
                <w:lang w:val="en-GB"/>
              </w:rPr>
            </w:pPr>
            <w:r w:rsidRPr="00F01F39">
              <w:rPr>
                <w:b w:val="0"/>
                <w:color w:val="auto"/>
                <w:sz w:val="16"/>
                <w:szCs w:val="16"/>
                <w:lang w:val="en-GB"/>
              </w:rPr>
              <w:t>Is such exemption, reduction or refund subject to other anti-avoidance requirements? If yes, please explain briefly.</w:t>
            </w:r>
          </w:p>
        </w:tc>
        <w:tc>
          <w:tcPr>
            <w:tcW w:w="3933" w:type="dxa"/>
          </w:tcPr>
          <w:p w:rsidR="009E71C6" w:rsidRPr="00F01F39" w:rsidRDefault="003032A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No. </w:t>
            </w:r>
          </w:p>
        </w:tc>
      </w:tr>
      <w:tr w:rsidR="009E71C6" w:rsidRPr="00F01F39"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9E71C6" w:rsidP="00427661">
            <w:pPr>
              <w:rPr>
                <w:lang w:val="en-GB"/>
              </w:rPr>
            </w:pPr>
            <w:r w:rsidRPr="00F01F39">
              <w:rPr>
                <w:i/>
                <w:sz w:val="16"/>
                <w:szCs w:val="16"/>
                <w:lang w:val="en-GB"/>
              </w:rPr>
              <w:t>Allowance for corporate equity</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427661">
            <w:pPr>
              <w:pStyle w:val="ListNumber"/>
              <w:tabs>
                <w:tab w:val="clear" w:pos="284"/>
              </w:tabs>
              <w:ind w:left="340" w:hanging="340"/>
              <w:jc w:val="left"/>
              <w:rPr>
                <w:b w:val="0"/>
                <w:i/>
                <w:color w:val="auto"/>
                <w:sz w:val="16"/>
                <w:szCs w:val="16"/>
                <w:lang w:val="en-GB"/>
              </w:rPr>
            </w:pPr>
            <w:r w:rsidRPr="00F01F39">
              <w:rPr>
                <w:b w:val="0"/>
                <w:color w:val="auto"/>
                <w:sz w:val="16"/>
                <w:szCs w:val="16"/>
                <w:lang w:val="en-GB"/>
              </w:rPr>
              <w:t>Does your MS offer any tax deduction for a notional (fictitious) interest cost on the share capital of a company? If yes, please briefly explain</w:t>
            </w:r>
            <w:r w:rsidR="00E91F47" w:rsidRPr="00F01F39">
              <w:rPr>
                <w:b w:val="0"/>
                <w:color w:val="auto"/>
                <w:sz w:val="16"/>
                <w:szCs w:val="16"/>
                <w:lang w:val="en-GB"/>
              </w:rPr>
              <w:t xml:space="preserve"> and include any anti-avoidance provisions</w:t>
            </w:r>
            <w:r w:rsidRPr="00F01F39">
              <w:rPr>
                <w:b w:val="0"/>
                <w:color w:val="auto"/>
                <w:sz w:val="16"/>
                <w:szCs w:val="16"/>
                <w:lang w:val="en-GB"/>
              </w:rPr>
              <w:t>. In particular, can the deduction be claimed against financial income?</w:t>
            </w:r>
          </w:p>
        </w:tc>
        <w:tc>
          <w:tcPr>
            <w:tcW w:w="3933" w:type="dxa"/>
          </w:tcPr>
          <w:p w:rsidR="009E71C6" w:rsidRPr="00F01F39" w:rsidRDefault="00645D9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No.</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427661">
            <w:pPr>
              <w:pStyle w:val="ListNumber"/>
              <w:tabs>
                <w:tab w:val="clear" w:pos="284"/>
              </w:tabs>
              <w:ind w:left="340" w:hanging="340"/>
              <w:jc w:val="left"/>
              <w:rPr>
                <w:b w:val="0"/>
                <w:color w:val="auto"/>
                <w:sz w:val="16"/>
                <w:szCs w:val="16"/>
                <w:lang w:val="en-GB"/>
              </w:rPr>
            </w:pPr>
            <w:r w:rsidRPr="00F01F39">
              <w:rPr>
                <w:b w:val="0"/>
                <w:color w:val="auto"/>
                <w:sz w:val="16"/>
                <w:szCs w:val="16"/>
                <w:lang w:val="en-GB"/>
              </w:rPr>
              <w:t>Does your MS offer any tax deduction for dividends declared or paid? If yes, please briefly explain.</w:t>
            </w:r>
          </w:p>
        </w:tc>
        <w:tc>
          <w:tcPr>
            <w:tcW w:w="3933" w:type="dxa"/>
          </w:tcPr>
          <w:p w:rsidR="009E71C6" w:rsidRPr="00F01F39" w:rsidRDefault="00645D9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No.</w:t>
            </w:r>
          </w:p>
        </w:tc>
      </w:tr>
      <w:tr w:rsidR="009E71C6" w:rsidRPr="00F01F39"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9E71C6" w:rsidP="00427661">
            <w:pPr>
              <w:rPr>
                <w:lang w:val="en-GB"/>
              </w:rPr>
            </w:pPr>
            <w:r w:rsidRPr="00F01F39">
              <w:rPr>
                <w:i/>
                <w:sz w:val="16"/>
                <w:szCs w:val="16"/>
                <w:lang w:val="en-GB"/>
              </w:rPr>
              <w:t>Royalty and other income from intangible property</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C9F" w:rsidRPr="00F01F39" w:rsidRDefault="009E71C6" w:rsidP="00630C9F">
            <w:pPr>
              <w:pStyle w:val="ListNumber"/>
              <w:tabs>
                <w:tab w:val="clear" w:pos="284"/>
              </w:tabs>
              <w:ind w:left="340" w:hanging="340"/>
              <w:jc w:val="left"/>
              <w:rPr>
                <w:b w:val="0"/>
                <w:i/>
                <w:sz w:val="16"/>
                <w:szCs w:val="16"/>
                <w:lang w:val="en-GB"/>
              </w:rPr>
            </w:pPr>
            <w:r w:rsidRPr="00F01F39">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w:t>
            </w:r>
            <w:r w:rsidR="00855C0C" w:rsidRPr="00F01F39">
              <w:rPr>
                <w:b w:val="0"/>
                <w:sz w:val="16"/>
                <w:szCs w:val="16"/>
                <w:lang w:val="en-GB"/>
              </w:rPr>
              <w:t>,</w:t>
            </w:r>
            <w:r w:rsidRPr="00F01F39">
              <w:rPr>
                <w:b w:val="0"/>
                <w:sz w:val="16"/>
                <w:szCs w:val="16"/>
                <w:lang w:val="en-GB"/>
              </w:rPr>
              <w:t xml:space="preserve"> characteristics</w:t>
            </w:r>
            <w:r w:rsidR="00855C0C" w:rsidRPr="00F01F39">
              <w:rPr>
                <w:b w:val="0"/>
                <w:sz w:val="16"/>
                <w:szCs w:val="16"/>
                <w:lang w:val="en-GB"/>
              </w:rPr>
              <w:t xml:space="preserve"> and any anti-avoidance provisions</w:t>
            </w:r>
            <w:r w:rsidRPr="00F01F39">
              <w:rPr>
                <w:b w:val="0"/>
                <w:sz w:val="16"/>
                <w:szCs w:val="16"/>
                <w:lang w:val="en-GB"/>
              </w:rPr>
              <w:t>.</w:t>
            </w:r>
            <w:r w:rsidR="00665D82" w:rsidRPr="00F01F39">
              <w:rPr>
                <w:b w:val="0"/>
                <w:sz w:val="16"/>
                <w:szCs w:val="16"/>
                <w:lang w:val="en-GB"/>
              </w:rPr>
              <w:t xml:space="preserve"> In particular, can the preferential tax treatment be applied to income from patents or other IP which has not been developed by the taxpayer (company) itself?</w:t>
            </w:r>
            <w:r w:rsidR="00630C9F" w:rsidRPr="00F01F39">
              <w:rPr>
                <w:b w:val="0"/>
                <w:sz w:val="16"/>
                <w:szCs w:val="16"/>
                <w:lang w:val="en-GB"/>
              </w:rPr>
              <w:t xml:space="preserve"> Must the company have its own substantial R&amp;D activities? Can the preferential tax treatment be applied also to income from other taxpayers in your MS?</w:t>
            </w:r>
          </w:p>
        </w:tc>
        <w:tc>
          <w:tcPr>
            <w:tcW w:w="3933" w:type="dxa"/>
          </w:tcPr>
          <w:p w:rsidR="000117BD" w:rsidRPr="00F01F39" w:rsidRDefault="000117B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No. </w:t>
            </w:r>
          </w:p>
          <w:p w:rsidR="000117BD" w:rsidRPr="00F01F39" w:rsidRDefault="000117B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D56361" w:rsidRPr="00F01F39" w:rsidRDefault="00D56361" w:rsidP="006D0B1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46408E">
            <w:pPr>
              <w:pStyle w:val="ListNumber"/>
              <w:tabs>
                <w:tab w:val="clear" w:pos="284"/>
              </w:tabs>
              <w:ind w:left="340" w:hanging="340"/>
              <w:jc w:val="left"/>
              <w:rPr>
                <w:b w:val="0"/>
                <w:sz w:val="16"/>
                <w:szCs w:val="16"/>
                <w:lang w:val="en-GB"/>
              </w:rPr>
            </w:pPr>
            <w:r w:rsidRPr="00F01F39">
              <w:rPr>
                <w:b w:val="0"/>
                <w:sz w:val="16"/>
                <w:szCs w:val="16"/>
                <w:lang w:val="en-GB"/>
              </w:rPr>
              <w:t>Can a company in your MS obtain R&amp;D tax credits</w:t>
            </w:r>
            <w:r w:rsidR="003A1A3B" w:rsidRPr="00F01F39">
              <w:rPr>
                <w:b w:val="0"/>
                <w:sz w:val="16"/>
                <w:szCs w:val="16"/>
                <w:lang w:val="en-GB"/>
              </w:rPr>
              <w:t xml:space="preserve"> (typically enhanced tax deduction or tax refund) </w:t>
            </w:r>
            <w:r w:rsidRPr="00F01F39">
              <w:rPr>
                <w:b w:val="0"/>
                <w:sz w:val="16"/>
                <w:szCs w:val="16"/>
                <w:lang w:val="en-GB"/>
              </w:rPr>
              <w:t>for costs incurred</w:t>
            </w:r>
            <w:r w:rsidR="0046408E" w:rsidRPr="00F01F39">
              <w:rPr>
                <w:b w:val="0"/>
                <w:sz w:val="16"/>
                <w:szCs w:val="16"/>
                <w:lang w:val="en-GB"/>
              </w:rPr>
              <w:t>, e.g.</w:t>
            </w:r>
            <w:r w:rsidRPr="00F01F39">
              <w:rPr>
                <w:b w:val="0"/>
                <w:sz w:val="16"/>
                <w:szCs w:val="16"/>
                <w:lang w:val="en-GB"/>
              </w:rPr>
              <w:t xml:space="preserve"> in developing IP rights?</w:t>
            </w:r>
          </w:p>
        </w:tc>
        <w:tc>
          <w:tcPr>
            <w:tcW w:w="3933" w:type="dxa"/>
          </w:tcPr>
          <w:p w:rsidR="000117BD" w:rsidRPr="00F01F39" w:rsidRDefault="000117BD" w:rsidP="0010462C">
            <w:p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Yes.</w:t>
            </w:r>
          </w:p>
          <w:p w:rsidR="0010462C" w:rsidRPr="00F01F39" w:rsidRDefault="0010462C" w:rsidP="000117BD">
            <w:pPr>
              <w:numPr>
                <w:ilvl w:val="0"/>
                <w:numId w:val="33"/>
              </w:num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 xml:space="preserve">tax </w:t>
            </w:r>
            <w:r w:rsidR="00BC22A3" w:rsidRPr="00F01F39">
              <w:rPr>
                <w:bCs/>
                <w:sz w:val="16"/>
                <w:szCs w:val="16"/>
                <w:lang w:val="en-GB"/>
              </w:rPr>
              <w:t>relief</w:t>
            </w:r>
            <w:r w:rsidRPr="00F01F39">
              <w:rPr>
                <w:bCs/>
                <w:sz w:val="16"/>
                <w:szCs w:val="16"/>
                <w:lang w:val="en-GB"/>
              </w:rPr>
              <w:t xml:space="preserve"> </w:t>
            </w:r>
            <w:r w:rsidR="00567B5F" w:rsidRPr="00F01F39">
              <w:rPr>
                <w:bCs/>
                <w:sz w:val="16"/>
                <w:szCs w:val="16"/>
                <w:lang w:val="en-GB"/>
              </w:rPr>
              <w:t xml:space="preserve">for incentive beneficiaries </w:t>
            </w:r>
            <w:r w:rsidR="000117BD" w:rsidRPr="00F01F39">
              <w:rPr>
                <w:bCs/>
                <w:sz w:val="16"/>
                <w:szCs w:val="16"/>
                <w:lang w:val="en-GB"/>
              </w:rPr>
              <w:t>(as a state aid incentive subject to approval). § 30b SITA</w:t>
            </w:r>
          </w:p>
          <w:p w:rsidR="000117BD" w:rsidRPr="00F01F39" w:rsidRDefault="0010462C" w:rsidP="0010462C">
            <w:p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 xml:space="preserve">In practice this possibility </w:t>
            </w:r>
            <w:r w:rsidR="000117BD" w:rsidRPr="00F01F39">
              <w:rPr>
                <w:bCs/>
                <w:sz w:val="16"/>
                <w:szCs w:val="16"/>
                <w:lang w:val="en-GB"/>
              </w:rPr>
              <w:t xml:space="preserve">was not used by taxable persons. </w:t>
            </w:r>
          </w:p>
          <w:p w:rsidR="000117BD" w:rsidRPr="00F01F39" w:rsidRDefault="000117BD" w:rsidP="000117BD">
            <w:pPr>
              <w:numPr>
                <w:ilvl w:val="0"/>
                <w:numId w:val="33"/>
              </w:num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 xml:space="preserve"> </w:t>
            </w:r>
            <w:r w:rsidR="0010462C" w:rsidRPr="00F01F39">
              <w:rPr>
                <w:bCs/>
                <w:sz w:val="16"/>
                <w:szCs w:val="16"/>
                <w:lang w:val="en-GB"/>
              </w:rPr>
              <w:t>“super-deduction</w:t>
            </w:r>
            <w:r w:rsidR="00BC22A3" w:rsidRPr="00F01F39">
              <w:rPr>
                <w:bCs/>
                <w:sz w:val="16"/>
                <w:szCs w:val="16"/>
                <w:lang w:val="en-GB"/>
              </w:rPr>
              <w:t>”</w:t>
            </w:r>
            <w:r w:rsidR="0010462C" w:rsidRPr="00F01F39">
              <w:rPr>
                <w:bCs/>
                <w:sz w:val="16"/>
                <w:szCs w:val="16"/>
                <w:lang w:val="en-GB"/>
              </w:rPr>
              <w:t xml:space="preserve"> was implemented to support R&amp;D </w:t>
            </w:r>
            <w:r w:rsidRPr="00F01F39">
              <w:rPr>
                <w:bCs/>
                <w:sz w:val="16"/>
                <w:szCs w:val="16"/>
                <w:lang w:val="en-GB"/>
              </w:rPr>
              <w:t xml:space="preserve">as of 1.1.2015. </w:t>
            </w:r>
            <w:r w:rsidRPr="00F01F39">
              <w:rPr>
                <w:color w:val="auto"/>
                <w:sz w:val="16"/>
                <w:szCs w:val="16"/>
                <w:lang w:val="en-GB"/>
              </w:rPr>
              <w:t>§30c SITA.</w:t>
            </w: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 xml:space="preserve">Starting 2015 to support R&amp;D (research and development), the Slovak parliament approved a related incentive in form of a tax base “super-deduction” up to: </w:t>
            </w: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bCs/>
                <w:sz w:val="16"/>
                <w:szCs w:val="16"/>
                <w:lang w:val="en-GB"/>
              </w:rPr>
            </w:pP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- 125% of the qualifying R&amp;D expense;</w:t>
            </w: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- 125% of year-on-year increase of R&amp;D costs;</w:t>
            </w: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- 125% of personal costs related to R&amp;D projects (only for employees under 26 years old)</w:t>
            </w: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bCs/>
                <w:sz w:val="16"/>
                <w:szCs w:val="16"/>
                <w:lang w:val="en-GB"/>
              </w:rPr>
            </w:pP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Several conditions must be fulfilled.</w:t>
            </w: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bCs/>
                <w:sz w:val="16"/>
                <w:szCs w:val="16"/>
                <w:lang w:val="en-GB"/>
              </w:rPr>
            </w:pPr>
          </w:p>
          <w:p w:rsidR="000117BD" w:rsidRPr="00F01F39" w:rsidRDefault="000117BD" w:rsidP="000117BD">
            <w:p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 xml:space="preserve">Super-deduction is not possible relating to the costs: (i) that were subsidised (even partially) by any public funds; (ii) services, licences and R&amp;D costs purchased from other persons, except if purchased from persons listed in SITA (research institutes, public universities, companies having special certificate to perform R&amp;D). </w:t>
            </w:r>
          </w:p>
          <w:p w:rsidR="00E77DA9" w:rsidRPr="00F01F39" w:rsidRDefault="000117BD" w:rsidP="0011457D">
            <w:pPr>
              <w:cnfStyle w:val="000000000000" w:firstRow="0" w:lastRow="0" w:firstColumn="0" w:lastColumn="0" w:oddVBand="0" w:evenVBand="0" w:oddHBand="0" w:evenHBand="0" w:firstRowFirstColumn="0" w:firstRowLastColumn="0" w:lastRowFirstColumn="0" w:lastRowLastColumn="0"/>
              <w:rPr>
                <w:color w:val="auto"/>
                <w:sz w:val="16"/>
                <w:szCs w:val="16"/>
                <w:u w:val="single"/>
                <w:lang w:val="en-GB"/>
              </w:rPr>
            </w:pPr>
            <w:r w:rsidRPr="00F01F39">
              <w:rPr>
                <w:bCs/>
                <w:sz w:val="16"/>
                <w:szCs w:val="16"/>
                <w:lang w:val="en-GB"/>
              </w:rPr>
              <w:t xml:space="preserve">Besides this, if company applies “super-deduction”, it must not use a benefit of tax credit </w:t>
            </w:r>
            <w:r w:rsidR="00E77DA9" w:rsidRPr="00F01F39">
              <w:rPr>
                <w:bCs/>
                <w:color w:val="auto"/>
                <w:sz w:val="16"/>
                <w:szCs w:val="16"/>
                <w:lang w:val="en-GB"/>
              </w:rPr>
              <w:t>according to § 30b SITA</w:t>
            </w:r>
            <w:r w:rsidR="0011457D" w:rsidRPr="00F01F39">
              <w:rPr>
                <w:bCs/>
                <w:color w:val="auto"/>
                <w:sz w:val="16"/>
                <w:szCs w:val="16"/>
                <w:lang w:val="en-GB"/>
              </w:rPr>
              <w:t>.</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3A6F57">
            <w:pPr>
              <w:pStyle w:val="ListNumber"/>
              <w:tabs>
                <w:tab w:val="clear" w:pos="284"/>
              </w:tabs>
              <w:ind w:left="340" w:hanging="340"/>
              <w:jc w:val="left"/>
              <w:rPr>
                <w:b w:val="0"/>
                <w:sz w:val="16"/>
                <w:szCs w:val="16"/>
                <w:lang w:val="en-GB"/>
              </w:rPr>
            </w:pPr>
            <w:r w:rsidRPr="00F01F39">
              <w:rPr>
                <w:b w:val="0"/>
                <w:sz w:val="16"/>
                <w:szCs w:val="16"/>
                <w:lang w:val="en-GB"/>
              </w:rPr>
              <w:lastRenderedPageBreak/>
              <w:t>If yes to 2</w:t>
            </w:r>
            <w:r w:rsidR="003A6F57" w:rsidRPr="00F01F39">
              <w:rPr>
                <w:b w:val="0"/>
                <w:sz w:val="16"/>
                <w:szCs w:val="16"/>
                <w:lang w:val="en-GB"/>
              </w:rPr>
              <w:t>4</w:t>
            </w:r>
            <w:r w:rsidRPr="00F01F39">
              <w:rPr>
                <w:b w:val="0"/>
                <w:sz w:val="16"/>
                <w:szCs w:val="16"/>
                <w:lang w:val="en-GB"/>
              </w:rPr>
              <w:t xml:space="preserve">, </w:t>
            </w:r>
          </w:p>
        </w:tc>
        <w:tc>
          <w:tcPr>
            <w:tcW w:w="3933" w:type="dxa"/>
          </w:tcPr>
          <w:p w:rsidR="009E71C6" w:rsidRPr="00F01F39"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D67218">
            <w:pPr>
              <w:pStyle w:val="ListNumber"/>
              <w:numPr>
                <w:ilvl w:val="0"/>
                <w:numId w:val="21"/>
              </w:numPr>
              <w:ind w:left="714" w:hanging="357"/>
              <w:jc w:val="left"/>
              <w:rPr>
                <w:b w:val="0"/>
                <w:sz w:val="16"/>
                <w:szCs w:val="16"/>
                <w:lang w:val="en-GB"/>
              </w:rPr>
            </w:pPr>
            <w:r w:rsidRPr="00F01F39">
              <w:rPr>
                <w:b w:val="0"/>
                <w:sz w:val="16"/>
                <w:szCs w:val="16"/>
                <w:lang w:val="en-GB"/>
              </w:rPr>
              <w:t>Please briefly explain the requirements which have to be met</w:t>
            </w:r>
            <w:r w:rsidR="00DC247D" w:rsidRPr="00F01F39">
              <w:rPr>
                <w:b w:val="0"/>
                <w:sz w:val="16"/>
                <w:szCs w:val="16"/>
                <w:lang w:val="en-GB"/>
              </w:rPr>
              <w:t>, e.g. requirements for certain activity or successful development, etc.</w:t>
            </w:r>
          </w:p>
        </w:tc>
        <w:tc>
          <w:tcPr>
            <w:tcW w:w="3933" w:type="dxa"/>
          </w:tcPr>
          <w:p w:rsidR="0050164C" w:rsidRPr="00F01F39" w:rsidRDefault="0050164C" w:rsidP="0050164C">
            <w:pPr>
              <w:cnfStyle w:val="000000000000" w:firstRow="0" w:lastRow="0" w:firstColumn="0" w:lastColumn="0" w:oddVBand="0" w:evenVBand="0" w:oddHBand="0" w:evenHBand="0" w:firstRowFirstColumn="0" w:firstRowLastColumn="0" w:lastRowFirstColumn="0" w:lastRowLastColumn="0"/>
              <w:rPr>
                <w:bCs/>
                <w:sz w:val="16"/>
                <w:szCs w:val="16"/>
                <w:lang w:val="en-GB"/>
              </w:rPr>
            </w:pPr>
            <w:r w:rsidRPr="00F01F39">
              <w:rPr>
                <w:bCs/>
                <w:sz w:val="16"/>
                <w:szCs w:val="16"/>
                <w:lang w:val="en-GB"/>
              </w:rPr>
              <w:t>The qualifiing R&amp;D expenses should be determined based on the accounting legislation, which specifies what R&amp;D c</w:t>
            </w:r>
            <w:r w:rsidRPr="00F01F39">
              <w:rPr>
                <w:bCs/>
                <w:color w:val="auto"/>
                <w:sz w:val="16"/>
                <w:szCs w:val="16"/>
                <w:lang w:val="en-GB"/>
              </w:rPr>
              <w:t>osts are</w:t>
            </w:r>
            <w:r w:rsidR="00E77DA9" w:rsidRPr="00F01F39">
              <w:rPr>
                <w:bCs/>
                <w:color w:val="auto"/>
                <w:sz w:val="16"/>
                <w:szCs w:val="16"/>
                <w:lang w:val="en-GB"/>
              </w:rPr>
              <w:t xml:space="preserve"> </w:t>
            </w:r>
            <w:r w:rsidR="00E77DA9" w:rsidRPr="00F01F39">
              <w:rPr>
                <w:color w:val="auto"/>
                <w:sz w:val="16"/>
                <w:szCs w:val="16"/>
                <w:lang w:val="en-GB"/>
              </w:rPr>
              <w:t>and which are accounted separately.</w:t>
            </w:r>
            <w:r w:rsidRPr="00F01F39">
              <w:rPr>
                <w:bCs/>
                <w:sz w:val="16"/>
                <w:szCs w:val="16"/>
                <w:lang w:val="en-GB"/>
              </w:rPr>
              <w:t xml:space="preserve"> </w:t>
            </w:r>
            <w:r w:rsidR="00567B5F" w:rsidRPr="00F01F39">
              <w:rPr>
                <w:bCs/>
                <w:sz w:val="16"/>
                <w:szCs w:val="16"/>
                <w:lang w:val="en-GB"/>
              </w:rPr>
              <w:t xml:space="preserve">See </w:t>
            </w:r>
            <w:r w:rsidRPr="00F01F39">
              <w:rPr>
                <w:bCs/>
                <w:sz w:val="16"/>
                <w:szCs w:val="16"/>
                <w:lang w:val="en-GB"/>
              </w:rPr>
              <w:t>§37 of the local GAAP</w:t>
            </w:r>
            <w:r w:rsidR="00567B5F" w:rsidRPr="00F01F39">
              <w:rPr>
                <w:bCs/>
                <w:sz w:val="16"/>
                <w:szCs w:val="16"/>
                <w:lang w:val="en-GB"/>
              </w:rPr>
              <w:t xml:space="preserve"> – Accounting for Long-Term Intangible Assets</w:t>
            </w:r>
          </w:p>
          <w:p w:rsidR="009E71C6" w:rsidRPr="00F01F39"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1"/>
              </w:numPr>
              <w:ind w:left="714" w:hanging="357"/>
              <w:jc w:val="left"/>
              <w:rPr>
                <w:b w:val="0"/>
                <w:sz w:val="16"/>
                <w:szCs w:val="16"/>
                <w:lang w:val="en-GB"/>
              </w:rPr>
            </w:pPr>
            <w:r w:rsidRPr="00F01F39">
              <w:rPr>
                <w:b w:val="0"/>
                <w:sz w:val="16"/>
                <w:szCs w:val="16"/>
                <w:lang w:val="en-GB"/>
              </w:rPr>
              <w:t xml:space="preserve">Can such credits also be obtained for costs that are ultimately reimbursed by a group member company to the company in your MS? </w:t>
            </w:r>
          </w:p>
        </w:tc>
        <w:tc>
          <w:tcPr>
            <w:tcW w:w="3933" w:type="dxa"/>
          </w:tcPr>
          <w:p w:rsidR="009E71C6" w:rsidRPr="00F01F39" w:rsidRDefault="00F408EB" w:rsidP="0066071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bCs/>
                <w:sz w:val="16"/>
                <w:szCs w:val="16"/>
                <w:lang w:val="en-GB"/>
              </w:rPr>
              <w:t xml:space="preserve">No, as in general </w:t>
            </w:r>
            <w:r w:rsidR="0066071D" w:rsidRPr="00F01F39">
              <w:rPr>
                <w:bCs/>
                <w:sz w:val="16"/>
                <w:szCs w:val="16"/>
                <w:lang w:val="en-GB"/>
              </w:rPr>
              <w:t>the intangible may not be sold. This incentive is not available and is recaptured if the intangible asset is sold. The reimbursement of costs however does not lead to loss of incentive.</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sz w:val="16"/>
                <w:szCs w:val="16"/>
                <w:lang w:val="en-GB"/>
              </w:rPr>
            </w:pPr>
            <w:r w:rsidRPr="00F01F39">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rsidR="009E71C6" w:rsidRPr="00F01F39" w:rsidRDefault="005841B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No</w:t>
            </w:r>
            <w:r w:rsidR="0011457D" w:rsidRPr="00F01F39">
              <w:rPr>
                <w:color w:val="auto"/>
                <w:sz w:val="16"/>
                <w:szCs w:val="16"/>
                <w:lang w:val="en-GB"/>
              </w:rPr>
              <w:t xml:space="preserve"> </w:t>
            </w:r>
            <w:r w:rsidR="0097415B" w:rsidRPr="00F01F39">
              <w:rPr>
                <w:color w:val="auto"/>
                <w:sz w:val="16"/>
                <w:szCs w:val="16"/>
                <w:lang w:val="en-GB"/>
              </w:rPr>
              <w:t>in general but no special exit tax.</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D67218">
            <w:pPr>
              <w:pStyle w:val="ListNumber"/>
              <w:tabs>
                <w:tab w:val="clear" w:pos="284"/>
              </w:tabs>
              <w:ind w:left="340" w:hanging="340"/>
              <w:jc w:val="left"/>
              <w:rPr>
                <w:b w:val="0"/>
                <w:sz w:val="16"/>
                <w:szCs w:val="16"/>
                <w:lang w:val="en-GB"/>
              </w:rPr>
            </w:pPr>
            <w:r w:rsidRPr="00F01F39">
              <w:rPr>
                <w:b w:val="0"/>
                <w:sz w:val="16"/>
                <w:szCs w:val="16"/>
                <w:lang w:val="en-GB"/>
              </w:rPr>
              <w:t>If no to 2</w:t>
            </w:r>
            <w:r w:rsidR="003A6F57" w:rsidRPr="00F01F39">
              <w:rPr>
                <w:b w:val="0"/>
                <w:sz w:val="16"/>
                <w:szCs w:val="16"/>
                <w:lang w:val="en-GB"/>
              </w:rPr>
              <w:t>6</w:t>
            </w:r>
            <w:r w:rsidRPr="00F01F39">
              <w:rPr>
                <w:b w:val="0"/>
                <w:sz w:val="16"/>
                <w:szCs w:val="16"/>
                <w:lang w:val="en-GB"/>
              </w:rPr>
              <w:t xml:space="preserve">, </w:t>
            </w:r>
            <w:r w:rsidR="003949EE" w:rsidRPr="00F01F39">
              <w:rPr>
                <w:b w:val="0"/>
                <w:sz w:val="16"/>
                <w:szCs w:val="16"/>
                <w:lang w:val="en-GB"/>
              </w:rPr>
              <w:t>i.e. your MS would impose tax on the disposal,</w:t>
            </w:r>
          </w:p>
          <w:p w:rsidR="009E71C6" w:rsidRPr="00F01F39" w:rsidRDefault="009E71C6" w:rsidP="009E71C6">
            <w:pPr>
              <w:pStyle w:val="ListNumber"/>
              <w:numPr>
                <w:ilvl w:val="0"/>
                <w:numId w:val="0"/>
              </w:numPr>
              <w:ind w:left="340"/>
              <w:rPr>
                <w:b w:val="0"/>
                <w:sz w:val="16"/>
                <w:szCs w:val="16"/>
                <w:lang w:val="en-GB"/>
              </w:rPr>
            </w:pPr>
          </w:p>
        </w:tc>
        <w:tc>
          <w:tcPr>
            <w:tcW w:w="3933" w:type="dxa"/>
          </w:tcPr>
          <w:p w:rsidR="009E71C6" w:rsidRPr="00F01F39"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2"/>
              </w:numPr>
              <w:ind w:left="714" w:hanging="357"/>
              <w:jc w:val="left"/>
              <w:rPr>
                <w:b w:val="0"/>
                <w:sz w:val="16"/>
                <w:szCs w:val="16"/>
                <w:lang w:val="en-GB"/>
              </w:rPr>
            </w:pPr>
            <w:r w:rsidRPr="00F01F39">
              <w:rPr>
                <w:b w:val="0"/>
                <w:sz w:val="16"/>
                <w:szCs w:val="16"/>
                <w:lang w:val="en-GB"/>
              </w:rPr>
              <w:t>Is the relevant capital gains tax rate lower than the standard rate?</w:t>
            </w:r>
          </w:p>
        </w:tc>
        <w:tc>
          <w:tcPr>
            <w:tcW w:w="3933" w:type="dxa"/>
          </w:tcPr>
          <w:p w:rsidR="009E71C6" w:rsidRPr="00F01F39" w:rsidRDefault="005841B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No. </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3949EE" w:rsidP="003949EE">
            <w:pPr>
              <w:pStyle w:val="ListNumber"/>
              <w:numPr>
                <w:ilvl w:val="0"/>
                <w:numId w:val="22"/>
              </w:numPr>
              <w:jc w:val="left"/>
              <w:rPr>
                <w:b w:val="0"/>
                <w:sz w:val="16"/>
                <w:szCs w:val="16"/>
                <w:lang w:val="en-GB"/>
              </w:rPr>
            </w:pPr>
            <w:r w:rsidRPr="00F01F39">
              <w:rPr>
                <w:b w:val="0"/>
                <w:sz w:val="16"/>
                <w:szCs w:val="16"/>
                <w:lang w:val="en-GB"/>
              </w:rPr>
              <w:t xml:space="preserve">Does taxation arise as a result of an </w:t>
            </w:r>
            <w:r w:rsidR="00A30052" w:rsidRPr="00F01F39">
              <w:rPr>
                <w:b w:val="0"/>
                <w:sz w:val="16"/>
                <w:szCs w:val="16"/>
                <w:lang w:val="en-GB"/>
              </w:rPr>
              <w:t>anti-abuse provision or similar</w:t>
            </w:r>
            <w:r w:rsidR="009E71C6" w:rsidRPr="00F01F39">
              <w:rPr>
                <w:b w:val="0"/>
                <w:sz w:val="16"/>
                <w:szCs w:val="16"/>
                <w:lang w:val="en-GB"/>
              </w:rPr>
              <w:t xml:space="preserve">? </w:t>
            </w:r>
          </w:p>
        </w:tc>
        <w:tc>
          <w:tcPr>
            <w:tcW w:w="3933" w:type="dxa"/>
          </w:tcPr>
          <w:p w:rsidR="009E71C6" w:rsidRPr="00F01F39" w:rsidRDefault="0066071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It could be based on GAAR.</w:t>
            </w:r>
          </w:p>
        </w:tc>
      </w:tr>
      <w:tr w:rsidR="004E06FE"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4E06FE" w:rsidRPr="00F01F39" w:rsidRDefault="004E06FE" w:rsidP="004E06FE">
            <w:pPr>
              <w:pStyle w:val="ListNumber"/>
              <w:numPr>
                <w:ilvl w:val="0"/>
                <w:numId w:val="22"/>
              </w:numPr>
              <w:ind w:left="714" w:hanging="357"/>
              <w:jc w:val="left"/>
              <w:rPr>
                <w:sz w:val="16"/>
                <w:szCs w:val="16"/>
                <w:lang w:val="en-GB"/>
              </w:rPr>
            </w:pPr>
            <w:r w:rsidRPr="00F01F39">
              <w:rPr>
                <w:b w:val="0"/>
                <w:sz w:val="16"/>
                <w:szCs w:val="16"/>
                <w:lang w:val="en-GB"/>
              </w:rPr>
              <w:t>Would any R&amp;D tax credits obtained in the past be reversed upon a disposal?</w:t>
            </w:r>
          </w:p>
        </w:tc>
        <w:tc>
          <w:tcPr>
            <w:tcW w:w="3933" w:type="dxa"/>
          </w:tcPr>
          <w:p w:rsidR="004E06FE" w:rsidRPr="00F01F39" w:rsidRDefault="00F408EB" w:rsidP="005842B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Yes (</w:t>
            </w:r>
            <w:r w:rsidR="005842B2" w:rsidRPr="00F01F39">
              <w:rPr>
                <w:color w:val="auto"/>
                <w:sz w:val="16"/>
                <w:szCs w:val="16"/>
                <w:lang w:val="en-GB"/>
              </w:rPr>
              <w:t xml:space="preserve">certified companies may not use super-deduction if the results of R&amp;D are for sale. Accordingly, if sold after super-deduction was applied, amending tax returns must be submitted. §30c(9) SITA. </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DC247D" w:rsidRPr="00F01F39" w:rsidRDefault="00DC247D" w:rsidP="00D67218">
            <w:pPr>
              <w:pStyle w:val="ListNumber"/>
              <w:numPr>
                <w:ilvl w:val="0"/>
                <w:numId w:val="22"/>
              </w:numPr>
              <w:ind w:left="714" w:hanging="357"/>
              <w:jc w:val="left"/>
              <w:rPr>
                <w:b w:val="0"/>
                <w:sz w:val="16"/>
                <w:szCs w:val="16"/>
                <w:lang w:val="en-GB"/>
              </w:rPr>
            </w:pPr>
            <w:r w:rsidRPr="00F01F39">
              <w:rPr>
                <w:b w:val="0"/>
                <w:sz w:val="16"/>
                <w:szCs w:val="16"/>
                <w:lang w:val="en-GB"/>
              </w:rPr>
              <w:t>Can a ruling confirming the value of the IP be obtained?</w:t>
            </w:r>
          </w:p>
        </w:tc>
        <w:tc>
          <w:tcPr>
            <w:tcW w:w="3933" w:type="dxa"/>
          </w:tcPr>
          <w:p w:rsidR="009E71C6" w:rsidRPr="00F01F39" w:rsidRDefault="005841B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No.</w:t>
            </w:r>
          </w:p>
        </w:tc>
      </w:tr>
      <w:tr w:rsidR="009E71C6" w:rsidRPr="00F01F39"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9E71C6" w:rsidP="00427661">
            <w:pPr>
              <w:rPr>
                <w:lang w:val="en-GB"/>
              </w:rPr>
            </w:pPr>
            <w:r w:rsidRPr="00F01F39">
              <w:rPr>
                <w:i/>
                <w:sz w:val="16"/>
                <w:szCs w:val="16"/>
                <w:lang w:val="en-GB"/>
              </w:rPr>
              <w:t>Royalty and other IP costs</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E3D43">
            <w:pPr>
              <w:pStyle w:val="ListNumber"/>
              <w:tabs>
                <w:tab w:val="clear" w:pos="284"/>
              </w:tabs>
              <w:ind w:left="340" w:hanging="340"/>
              <w:jc w:val="left"/>
              <w:rPr>
                <w:b w:val="0"/>
                <w:i/>
                <w:sz w:val="16"/>
                <w:szCs w:val="16"/>
                <w:lang w:val="en-GB"/>
              </w:rPr>
            </w:pPr>
            <w:r w:rsidRPr="00F01F39">
              <w:rPr>
                <w:b w:val="0"/>
                <w:sz w:val="16"/>
                <w:szCs w:val="16"/>
                <w:lang w:val="en-GB"/>
              </w:rPr>
              <w:t xml:space="preserve">Is royalty paid by a company in your MS </w:t>
            </w:r>
            <w:r w:rsidR="000E3D43" w:rsidRPr="00F01F39">
              <w:rPr>
                <w:b w:val="0"/>
                <w:sz w:val="16"/>
                <w:szCs w:val="16"/>
                <w:lang w:val="en-GB"/>
              </w:rPr>
              <w:t xml:space="preserve">to a group member company in another MS or for </w:t>
            </w:r>
            <w:r w:rsidRPr="00F01F39">
              <w:rPr>
                <w:b w:val="0"/>
                <w:sz w:val="16"/>
                <w:szCs w:val="16"/>
                <w:lang w:val="en-GB"/>
              </w:rPr>
              <w:t>utilization of IP tax deductible?</w:t>
            </w:r>
          </w:p>
        </w:tc>
        <w:tc>
          <w:tcPr>
            <w:tcW w:w="3933" w:type="dxa"/>
          </w:tcPr>
          <w:p w:rsidR="009E71C6" w:rsidRPr="00F01F39" w:rsidRDefault="00645D9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Yes.</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3A6F57">
            <w:pPr>
              <w:pStyle w:val="ListNumber"/>
              <w:tabs>
                <w:tab w:val="clear" w:pos="284"/>
              </w:tabs>
              <w:ind w:left="340" w:hanging="340"/>
              <w:jc w:val="left"/>
              <w:rPr>
                <w:b w:val="0"/>
                <w:sz w:val="16"/>
                <w:szCs w:val="16"/>
                <w:lang w:val="en-GB"/>
              </w:rPr>
            </w:pPr>
            <w:r w:rsidRPr="00F01F39">
              <w:rPr>
                <w:b w:val="0"/>
                <w:sz w:val="16"/>
                <w:szCs w:val="16"/>
                <w:lang w:val="en-GB"/>
              </w:rPr>
              <w:t>If yes to 2</w:t>
            </w:r>
            <w:r w:rsidR="003A6F57" w:rsidRPr="00F01F39">
              <w:rPr>
                <w:b w:val="0"/>
                <w:sz w:val="16"/>
                <w:szCs w:val="16"/>
                <w:lang w:val="en-GB"/>
              </w:rPr>
              <w:t>8</w:t>
            </w:r>
            <w:r w:rsidRPr="00F01F39">
              <w:rPr>
                <w:b w:val="0"/>
                <w:sz w:val="16"/>
                <w:szCs w:val="16"/>
                <w:lang w:val="en-GB"/>
              </w:rPr>
              <w:t>,</w:t>
            </w:r>
          </w:p>
        </w:tc>
        <w:tc>
          <w:tcPr>
            <w:tcW w:w="3933" w:type="dxa"/>
          </w:tcPr>
          <w:p w:rsidR="009E71C6" w:rsidRPr="00F01F39"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8"/>
              </w:numPr>
              <w:jc w:val="left"/>
              <w:rPr>
                <w:b w:val="0"/>
                <w:sz w:val="16"/>
                <w:szCs w:val="16"/>
                <w:lang w:val="en-GB"/>
              </w:rPr>
            </w:pPr>
            <w:r w:rsidRPr="00F01F39">
              <w:rPr>
                <w:b w:val="0"/>
                <w:sz w:val="16"/>
                <w:szCs w:val="16"/>
                <w:lang w:val="en-GB"/>
              </w:rPr>
              <w:t xml:space="preserve">Is the tax deduction dependent on whether the royalty income is taxed in the hands of the IP-licensor/IP-owner? </w:t>
            </w:r>
          </w:p>
        </w:tc>
        <w:tc>
          <w:tcPr>
            <w:tcW w:w="3933" w:type="dxa"/>
          </w:tcPr>
          <w:p w:rsidR="009E71C6" w:rsidRPr="00F01F39" w:rsidRDefault="00FD51F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No.</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8"/>
              </w:numPr>
              <w:ind w:left="714" w:hanging="357"/>
              <w:jc w:val="left"/>
              <w:rPr>
                <w:b w:val="0"/>
                <w:sz w:val="16"/>
                <w:szCs w:val="16"/>
                <w:lang w:val="en-GB"/>
              </w:rPr>
            </w:pPr>
            <w:r w:rsidRPr="00F01F39">
              <w:rPr>
                <w:b w:val="0"/>
                <w:sz w:val="16"/>
                <w:szCs w:val="16"/>
                <w:lang w:val="en-GB"/>
              </w:rPr>
              <w:t>Are there types of royalty payments which cannot be deducted?</w:t>
            </w:r>
          </w:p>
        </w:tc>
        <w:tc>
          <w:tcPr>
            <w:tcW w:w="3933" w:type="dxa"/>
          </w:tcPr>
          <w:p w:rsidR="009E71C6" w:rsidRPr="00F01F39" w:rsidRDefault="0026665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There are no special rules.</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sz w:val="16"/>
                <w:szCs w:val="16"/>
                <w:lang w:val="en-GB"/>
              </w:rPr>
            </w:pPr>
            <w:r w:rsidRPr="00F01F39">
              <w:rPr>
                <w:b w:val="0"/>
                <w:sz w:val="16"/>
                <w:szCs w:val="16"/>
                <w:lang w:val="en-GB"/>
              </w:rPr>
              <w:t>Does your MS levy any withholding tax on royalty payments?</w:t>
            </w:r>
          </w:p>
        </w:tc>
        <w:tc>
          <w:tcPr>
            <w:tcW w:w="3933" w:type="dxa"/>
          </w:tcPr>
          <w:p w:rsidR="009E71C6" w:rsidRPr="00F01F39" w:rsidRDefault="00645D9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Yes.</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3A6F57">
            <w:pPr>
              <w:pStyle w:val="ListNumber"/>
              <w:tabs>
                <w:tab w:val="clear" w:pos="284"/>
              </w:tabs>
              <w:ind w:left="340" w:hanging="340"/>
              <w:jc w:val="left"/>
              <w:rPr>
                <w:b w:val="0"/>
                <w:sz w:val="16"/>
                <w:szCs w:val="16"/>
                <w:lang w:val="en-GB"/>
              </w:rPr>
            </w:pPr>
            <w:r w:rsidRPr="00F01F39">
              <w:rPr>
                <w:b w:val="0"/>
                <w:sz w:val="16"/>
                <w:szCs w:val="16"/>
                <w:lang w:val="en-GB"/>
              </w:rPr>
              <w:lastRenderedPageBreak/>
              <w:t xml:space="preserve">If yes to </w:t>
            </w:r>
            <w:r w:rsidR="003A6F57" w:rsidRPr="00F01F39">
              <w:rPr>
                <w:b w:val="0"/>
                <w:sz w:val="16"/>
                <w:szCs w:val="16"/>
                <w:lang w:val="en-GB"/>
              </w:rPr>
              <w:t>30</w:t>
            </w:r>
            <w:r w:rsidRPr="00F01F39">
              <w:rPr>
                <w:b w:val="0"/>
                <w:sz w:val="16"/>
                <w:szCs w:val="16"/>
                <w:lang w:val="en-GB"/>
              </w:rPr>
              <w:t>,</w:t>
            </w:r>
          </w:p>
        </w:tc>
        <w:tc>
          <w:tcPr>
            <w:tcW w:w="3933" w:type="dxa"/>
          </w:tcPr>
          <w:p w:rsidR="009E71C6" w:rsidRPr="00F01F39"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9"/>
              </w:numPr>
              <w:jc w:val="left"/>
              <w:rPr>
                <w:b w:val="0"/>
                <w:sz w:val="16"/>
                <w:szCs w:val="16"/>
                <w:lang w:val="en-GB"/>
              </w:rPr>
            </w:pPr>
            <w:r w:rsidRPr="00F01F39">
              <w:rPr>
                <w:b w:val="0"/>
                <w:sz w:val="16"/>
                <w:szCs w:val="16"/>
                <w:lang w:val="en-GB"/>
              </w:rPr>
              <w:t>What is the rate of withholding tax (ignoring tax treaties)?</w:t>
            </w:r>
          </w:p>
        </w:tc>
        <w:tc>
          <w:tcPr>
            <w:tcW w:w="3933" w:type="dxa"/>
          </w:tcPr>
          <w:p w:rsidR="00645D9D" w:rsidRPr="00F01F39" w:rsidRDefault="00266657" w:rsidP="00645D9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19 %/(35%). </w:t>
            </w:r>
          </w:p>
          <w:p w:rsidR="00645D9D" w:rsidRPr="00F01F39" w:rsidRDefault="00645D9D" w:rsidP="00645D9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9E71C6" w:rsidRPr="00F01F39" w:rsidRDefault="00645D9D" w:rsidP="00645D9D">
            <w:pPr>
              <w:cnfStyle w:val="000000100000" w:firstRow="0" w:lastRow="0" w:firstColumn="0" w:lastColumn="0" w:oddVBand="0" w:evenVBand="0" w:oddHBand="1" w:evenHBand="0" w:firstRowFirstColumn="0" w:firstRowLastColumn="0" w:lastRowFirstColumn="0" w:lastRowLastColumn="0"/>
              <w:rPr>
                <w:rFonts w:cs="Arial"/>
                <w:color w:val="auto"/>
                <w:sz w:val="16"/>
                <w:szCs w:val="16"/>
                <w:shd w:val="clear" w:color="auto" w:fill="FFFFFF"/>
                <w:lang w:val="en-GB"/>
              </w:rPr>
            </w:pPr>
            <w:r w:rsidRPr="00F01F39">
              <w:rPr>
                <w:rFonts w:cs="Arial"/>
                <w:color w:val="auto"/>
                <w:sz w:val="16"/>
                <w:szCs w:val="16"/>
                <w:shd w:val="clear" w:color="auto" w:fill="FFFFFF"/>
                <w:lang w:val="en-GB"/>
              </w:rPr>
              <w:t>A rate of 35% applies if royalties are paid out to the recipient who is a resident of a non-contracting state (i.e. a state which is not included in the “white list” published by the Slovak Ministry of Finance).</w:t>
            </w:r>
          </w:p>
          <w:p w:rsidR="00AC7AA6" w:rsidRPr="00F01F39" w:rsidRDefault="00AC7AA6" w:rsidP="00645D9D">
            <w:pPr>
              <w:cnfStyle w:val="000000100000" w:firstRow="0" w:lastRow="0" w:firstColumn="0" w:lastColumn="0" w:oddVBand="0" w:evenVBand="0" w:oddHBand="1" w:evenHBand="0" w:firstRowFirstColumn="0" w:firstRowLastColumn="0" w:lastRowFirstColumn="0" w:lastRowLastColumn="0"/>
              <w:rPr>
                <w:rFonts w:cs="Arial"/>
                <w:color w:val="auto"/>
                <w:sz w:val="16"/>
                <w:szCs w:val="16"/>
                <w:shd w:val="clear" w:color="auto" w:fill="FFFFFF"/>
                <w:lang w:val="en-GB"/>
              </w:rPr>
            </w:pPr>
          </w:p>
          <w:p w:rsidR="00AC7AA6" w:rsidRPr="00F01F39" w:rsidRDefault="00AC7AA6" w:rsidP="00645D9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“White list” (i.e. the list of states with which Slovakia has concluded DTC or international agreement  on the exchange of tax information or a state which is party to an international treaty providing for the exchange of information for tax purposes, by which this state and the Slovak Republic are bound) is attached (valid version only available in Slovak language). It is published on the website of the Ministry of Finance of the Slovak Republic (acc. to §2x SITA)</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117D22">
            <w:pPr>
              <w:pStyle w:val="ListNumber"/>
              <w:numPr>
                <w:ilvl w:val="0"/>
                <w:numId w:val="29"/>
              </w:numPr>
              <w:jc w:val="left"/>
              <w:rPr>
                <w:b w:val="0"/>
                <w:sz w:val="16"/>
                <w:szCs w:val="16"/>
                <w:lang w:val="en-GB"/>
              </w:rPr>
            </w:pPr>
            <w:r w:rsidRPr="00F01F39">
              <w:rPr>
                <w:b w:val="0"/>
                <w:sz w:val="16"/>
                <w:szCs w:val="16"/>
                <w:lang w:val="en-GB"/>
              </w:rPr>
              <w:t xml:space="preserve">Are there types of royalty payments which </w:t>
            </w:r>
            <w:r w:rsidR="00117D22" w:rsidRPr="00F01F39">
              <w:rPr>
                <w:b w:val="0"/>
                <w:sz w:val="16"/>
                <w:szCs w:val="16"/>
                <w:lang w:val="en-GB"/>
              </w:rPr>
              <w:t>are not subject to withholding tax</w:t>
            </w:r>
            <w:r w:rsidRPr="00F01F39">
              <w:rPr>
                <w:b w:val="0"/>
                <w:sz w:val="16"/>
                <w:szCs w:val="16"/>
                <w:lang w:val="en-GB"/>
              </w:rPr>
              <w:t>?</w:t>
            </w:r>
          </w:p>
        </w:tc>
        <w:tc>
          <w:tcPr>
            <w:tcW w:w="3933" w:type="dxa"/>
          </w:tcPr>
          <w:p w:rsidR="009E71C6" w:rsidRPr="00F01F39" w:rsidRDefault="0066071D" w:rsidP="009E71C6">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F01F39">
              <w:rPr>
                <w:rFonts w:cs="Arial"/>
                <w:color w:val="auto"/>
                <w:sz w:val="16"/>
                <w:szCs w:val="16"/>
                <w:shd w:val="clear" w:color="auto" w:fill="FFFFFF"/>
                <w:lang w:val="en-GB"/>
              </w:rPr>
              <w:t>All types of royalty are liable to withholding tax. However, r</w:t>
            </w:r>
            <w:r w:rsidR="00645D9D" w:rsidRPr="00F01F39">
              <w:rPr>
                <w:rFonts w:cs="Arial"/>
                <w:color w:val="auto"/>
                <w:sz w:val="16"/>
                <w:szCs w:val="16"/>
                <w:shd w:val="clear" w:color="auto" w:fill="FFFFFF"/>
                <w:lang w:val="en-GB"/>
              </w:rPr>
              <w:t>oyalty payments by resident companies are exempt from withholding tax, provided that the recipient is an associated company of the paying company and is resident in another EU Member State.</w:t>
            </w:r>
            <w:r w:rsidR="00555F07" w:rsidRPr="00F01F39">
              <w:rPr>
                <w:rFonts w:cs="Arial"/>
                <w:color w:val="auto"/>
                <w:sz w:val="16"/>
                <w:szCs w:val="16"/>
                <w:shd w:val="clear" w:color="auto" w:fill="FFFFFF"/>
                <w:lang w:val="en-GB"/>
              </w:rPr>
              <w:t xml:space="preserve"> §13(2)h SITA.</w:t>
            </w:r>
          </w:p>
          <w:p w:rsidR="00555F07" w:rsidRPr="00F01F39" w:rsidRDefault="00555F0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rFonts w:cs="Arial"/>
                <w:color w:val="auto"/>
                <w:sz w:val="16"/>
                <w:szCs w:val="16"/>
                <w:shd w:val="clear" w:color="auto" w:fill="FFFFFF"/>
                <w:lang w:val="en-GB"/>
              </w:rPr>
              <w:t>Interest</w:t>
            </w:r>
            <w:r w:rsidR="0065560A" w:rsidRPr="00F01F39">
              <w:rPr>
                <w:rFonts w:cs="Arial"/>
                <w:color w:val="auto"/>
                <w:sz w:val="16"/>
                <w:szCs w:val="16"/>
                <w:shd w:val="clear" w:color="auto" w:fill="FFFFFF"/>
                <w:lang w:val="en-GB"/>
              </w:rPr>
              <w:t xml:space="preserve"> </w:t>
            </w:r>
            <w:r w:rsidRPr="00F01F39">
              <w:rPr>
                <w:rFonts w:cs="Arial"/>
                <w:color w:val="auto"/>
                <w:sz w:val="16"/>
                <w:szCs w:val="16"/>
                <w:shd w:val="clear" w:color="auto" w:fill="FFFFFF"/>
                <w:lang w:val="en-GB"/>
              </w:rPr>
              <w:t>&amp;</w:t>
            </w:r>
            <w:r w:rsidR="0065560A" w:rsidRPr="00F01F39">
              <w:rPr>
                <w:rFonts w:cs="Arial"/>
                <w:color w:val="auto"/>
                <w:sz w:val="16"/>
                <w:szCs w:val="16"/>
                <w:shd w:val="clear" w:color="auto" w:fill="FFFFFF"/>
                <w:lang w:val="en-GB"/>
              </w:rPr>
              <w:t xml:space="preserve"> </w:t>
            </w:r>
            <w:r w:rsidRPr="00F01F39">
              <w:rPr>
                <w:rFonts w:cs="Arial"/>
                <w:color w:val="auto"/>
                <w:sz w:val="16"/>
                <w:szCs w:val="16"/>
                <w:shd w:val="clear" w:color="auto" w:fill="FFFFFF"/>
                <w:lang w:val="en-GB"/>
              </w:rPr>
              <w:t xml:space="preserve">Royalties Directive. </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9"/>
              </w:numPr>
              <w:jc w:val="left"/>
              <w:rPr>
                <w:b w:val="0"/>
                <w:sz w:val="16"/>
                <w:szCs w:val="16"/>
                <w:lang w:val="en-GB"/>
              </w:rPr>
            </w:pPr>
            <w:r w:rsidRPr="00F01F39">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9E71C6" w:rsidRPr="00F01F39" w:rsidRDefault="00555F07"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Yes</w:t>
            </w:r>
            <w:r w:rsidR="0097415B" w:rsidRPr="00F01F39">
              <w:rPr>
                <w:color w:val="auto"/>
                <w:sz w:val="16"/>
                <w:szCs w:val="16"/>
                <w:lang w:val="en-GB"/>
              </w:rPr>
              <w:t xml:space="preserve">, but there is no formal procedure to verify this with the exception of potential tax audit. </w:t>
            </w:r>
            <w:r w:rsidRPr="00F01F39">
              <w:rPr>
                <w:rFonts w:cs="Arial"/>
                <w:color w:val="auto"/>
                <w:sz w:val="16"/>
                <w:szCs w:val="16"/>
                <w:shd w:val="clear" w:color="auto" w:fill="FFFFFF"/>
                <w:lang w:val="en-GB"/>
              </w:rPr>
              <w:t>§13(2)h SITA.</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0243B6">
            <w:pPr>
              <w:pStyle w:val="ListNumber"/>
              <w:numPr>
                <w:ilvl w:val="0"/>
                <w:numId w:val="29"/>
              </w:numPr>
              <w:jc w:val="left"/>
              <w:rPr>
                <w:b w:val="0"/>
                <w:sz w:val="16"/>
                <w:szCs w:val="16"/>
                <w:lang w:val="en-GB"/>
              </w:rPr>
            </w:pPr>
            <w:r w:rsidRPr="00F01F39">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rsidR="009E71C6" w:rsidRPr="00F01F39" w:rsidRDefault="0066071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It could be based on GAAR.</w:t>
            </w:r>
          </w:p>
        </w:tc>
      </w:tr>
      <w:tr w:rsidR="009E71C6" w:rsidRPr="00F01F39"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9E71C6" w:rsidP="00427661">
            <w:pPr>
              <w:rPr>
                <w:lang w:val="en-GB"/>
              </w:rPr>
            </w:pPr>
            <w:r w:rsidRPr="00F01F39">
              <w:rPr>
                <w:i/>
                <w:sz w:val="16"/>
                <w:szCs w:val="16"/>
                <w:lang w:val="en-GB"/>
              </w:rPr>
              <w:t>Group taxation</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i/>
                <w:sz w:val="16"/>
                <w:szCs w:val="16"/>
                <w:lang w:val="en-GB"/>
              </w:rPr>
            </w:pPr>
            <w:r w:rsidRPr="00F01F39">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rsidR="009E71C6" w:rsidRPr="00F01F39" w:rsidRDefault="00645D9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No.</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3A6F57">
            <w:pPr>
              <w:pStyle w:val="ListNumber"/>
              <w:tabs>
                <w:tab w:val="clear" w:pos="284"/>
              </w:tabs>
              <w:ind w:left="340" w:hanging="340"/>
              <w:jc w:val="left"/>
              <w:rPr>
                <w:b w:val="0"/>
                <w:sz w:val="16"/>
                <w:szCs w:val="16"/>
                <w:lang w:val="en-GB"/>
              </w:rPr>
            </w:pPr>
            <w:r w:rsidRPr="00F01F39">
              <w:rPr>
                <w:b w:val="0"/>
                <w:sz w:val="16"/>
                <w:szCs w:val="16"/>
                <w:lang w:val="en-GB"/>
              </w:rPr>
              <w:t>If yes to 3</w:t>
            </w:r>
            <w:r w:rsidR="003A6F57" w:rsidRPr="00F01F39">
              <w:rPr>
                <w:b w:val="0"/>
                <w:sz w:val="16"/>
                <w:szCs w:val="16"/>
                <w:lang w:val="en-GB"/>
              </w:rPr>
              <w:t>2</w:t>
            </w:r>
            <w:r w:rsidRPr="00F01F39">
              <w:rPr>
                <w:b w:val="0"/>
                <w:sz w:val="16"/>
                <w:szCs w:val="16"/>
                <w:lang w:val="en-GB"/>
              </w:rPr>
              <w:t>,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rsidR="009E71C6" w:rsidRPr="00F01F39"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01F39"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9E71C6" w:rsidP="00427661">
            <w:pPr>
              <w:rPr>
                <w:lang w:val="en-GB"/>
              </w:rPr>
            </w:pPr>
            <w:r w:rsidRPr="00F01F39">
              <w:rPr>
                <w:i/>
                <w:sz w:val="16"/>
                <w:szCs w:val="16"/>
                <w:lang w:val="en-GB"/>
              </w:rPr>
              <w:t>CFC rules</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i/>
                <w:sz w:val="16"/>
                <w:szCs w:val="16"/>
                <w:lang w:val="en-GB"/>
              </w:rPr>
            </w:pPr>
            <w:r w:rsidRPr="00F01F39">
              <w:rPr>
                <w:b w:val="0"/>
                <w:sz w:val="16"/>
                <w:szCs w:val="16"/>
                <w:lang w:val="en-GB"/>
              </w:rPr>
              <w:t>Does your MS apply CFC rules to foreign subsidiaries</w:t>
            </w:r>
            <w:r w:rsidR="00FF2751" w:rsidRPr="00F01F39">
              <w:rPr>
                <w:b w:val="0"/>
                <w:sz w:val="16"/>
                <w:szCs w:val="16"/>
                <w:lang w:val="en-GB"/>
              </w:rPr>
              <w:t xml:space="preserve"> of a parent company in your MS</w:t>
            </w:r>
            <w:r w:rsidRPr="00F01F39">
              <w:rPr>
                <w:b w:val="0"/>
                <w:sz w:val="16"/>
                <w:szCs w:val="16"/>
                <w:lang w:val="en-GB"/>
              </w:rPr>
              <w:t>?</w:t>
            </w:r>
          </w:p>
        </w:tc>
        <w:tc>
          <w:tcPr>
            <w:tcW w:w="3933" w:type="dxa"/>
          </w:tcPr>
          <w:p w:rsidR="009E71C6" w:rsidRPr="00F01F39" w:rsidRDefault="00645D9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No.</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3A6F57">
            <w:pPr>
              <w:pStyle w:val="ListNumber"/>
              <w:tabs>
                <w:tab w:val="clear" w:pos="284"/>
              </w:tabs>
              <w:ind w:left="340" w:hanging="340"/>
              <w:jc w:val="left"/>
              <w:rPr>
                <w:b w:val="0"/>
                <w:sz w:val="16"/>
                <w:szCs w:val="16"/>
                <w:lang w:val="en-GB"/>
              </w:rPr>
            </w:pPr>
            <w:r w:rsidRPr="00F01F39">
              <w:rPr>
                <w:b w:val="0"/>
                <w:sz w:val="16"/>
                <w:szCs w:val="16"/>
                <w:lang w:val="en-GB"/>
              </w:rPr>
              <w:t>If yes to 3</w:t>
            </w:r>
            <w:r w:rsidR="003A6F57" w:rsidRPr="00F01F39">
              <w:rPr>
                <w:b w:val="0"/>
                <w:sz w:val="16"/>
                <w:szCs w:val="16"/>
                <w:lang w:val="en-GB"/>
              </w:rPr>
              <w:t>4</w:t>
            </w:r>
            <w:r w:rsidRPr="00F01F39">
              <w:rPr>
                <w:b w:val="0"/>
                <w:sz w:val="16"/>
                <w:szCs w:val="16"/>
                <w:lang w:val="en-GB"/>
              </w:rPr>
              <w:t>, please briefly explain the rules and their scope.</w:t>
            </w:r>
          </w:p>
        </w:tc>
        <w:tc>
          <w:tcPr>
            <w:tcW w:w="3933" w:type="dxa"/>
          </w:tcPr>
          <w:p w:rsidR="009E71C6" w:rsidRPr="00F01F39"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sz w:val="16"/>
                <w:szCs w:val="16"/>
                <w:lang w:val="en-GB"/>
              </w:rPr>
            </w:pPr>
            <w:r w:rsidRPr="00F01F39">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rsidR="009E71C6" w:rsidRPr="00F01F39"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01F39"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9E71C6" w:rsidP="00427661">
            <w:pPr>
              <w:rPr>
                <w:lang w:val="en-GB"/>
              </w:rPr>
            </w:pPr>
            <w:r w:rsidRPr="00F01F39">
              <w:rPr>
                <w:i/>
                <w:sz w:val="16"/>
                <w:szCs w:val="16"/>
                <w:lang w:val="en-GB"/>
              </w:rPr>
              <w:t>Mismatch in qualification of legal entities</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i/>
                <w:sz w:val="16"/>
                <w:szCs w:val="16"/>
                <w:lang w:val="en-GB"/>
              </w:rPr>
            </w:pPr>
            <w:r w:rsidRPr="00F01F39">
              <w:rPr>
                <w:b w:val="0"/>
                <w:sz w:val="16"/>
                <w:szCs w:val="16"/>
                <w:lang w:val="en-GB"/>
              </w:rPr>
              <w:t xml:space="preserve">Does your MS’s tax qualification of a foreign legal entity (e.g. a partnership) follow that of the foreign state, or does it apply its own criteria? Please briefly explain. When responding, please consider Model ATP-Structure </w:t>
            </w:r>
            <w:r w:rsidRPr="00F01F39">
              <w:rPr>
                <w:b w:val="0"/>
                <w:sz w:val="16"/>
                <w:szCs w:val="16"/>
                <w:lang w:val="en-GB"/>
              </w:rPr>
              <w:lastRenderedPageBreak/>
              <w:t>no. 3 and assume that MNE Group is tax resident in your MS.</w:t>
            </w:r>
          </w:p>
        </w:tc>
        <w:tc>
          <w:tcPr>
            <w:tcW w:w="3933" w:type="dxa"/>
          </w:tcPr>
          <w:p w:rsidR="009E71C6" w:rsidRPr="00F01F39" w:rsidRDefault="004F4ABD" w:rsidP="0065560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lastRenderedPageBreak/>
              <w:t>There are no special rules</w:t>
            </w:r>
            <w:r w:rsidR="0065560A" w:rsidRPr="00F01F39">
              <w:rPr>
                <w:color w:val="auto"/>
                <w:sz w:val="16"/>
                <w:szCs w:val="16"/>
                <w:lang w:val="en-GB"/>
              </w:rPr>
              <w:t>.</w:t>
            </w:r>
            <w:r w:rsidRPr="00F01F39">
              <w:rPr>
                <w:color w:val="auto"/>
                <w:sz w:val="16"/>
                <w:szCs w:val="16"/>
                <w:lang w:val="en-GB"/>
              </w:rPr>
              <w:t xml:space="preserve"> </w:t>
            </w:r>
            <w:r w:rsidR="0065560A" w:rsidRPr="00F01F39">
              <w:rPr>
                <w:color w:val="auto"/>
                <w:sz w:val="16"/>
                <w:szCs w:val="16"/>
                <w:lang w:val="en-GB"/>
              </w:rPr>
              <w:t>H</w:t>
            </w:r>
            <w:r w:rsidRPr="00F01F39">
              <w:rPr>
                <w:color w:val="auto"/>
                <w:sz w:val="16"/>
                <w:szCs w:val="16"/>
                <w:lang w:val="en-GB"/>
              </w:rPr>
              <w:t xml:space="preserve">owever, the practice of tax authorities including rulings suggests that criteria of the foreign state are applied. </w:t>
            </w:r>
          </w:p>
        </w:tc>
      </w:tr>
      <w:tr w:rsidR="009E71C6"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sz w:val="16"/>
                <w:szCs w:val="16"/>
                <w:lang w:val="en-GB"/>
              </w:rPr>
            </w:pPr>
            <w:r w:rsidRPr="00F01F39">
              <w:rPr>
                <w:b w:val="0"/>
                <w:sz w:val="16"/>
                <w:szCs w:val="16"/>
                <w:lang w:val="en-GB"/>
              </w:rPr>
              <w:lastRenderedPageBreak/>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rsidR="009E71C6" w:rsidRPr="00F01F39" w:rsidRDefault="004F4AB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No, only the general approach applies. </w:t>
            </w:r>
          </w:p>
        </w:tc>
      </w:tr>
      <w:tr w:rsidR="009E71C6"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9E71C6" w:rsidP="009E71C6">
            <w:pPr>
              <w:pStyle w:val="ListNumber"/>
              <w:tabs>
                <w:tab w:val="clear" w:pos="284"/>
              </w:tabs>
              <w:ind w:left="340" w:hanging="340"/>
              <w:jc w:val="left"/>
              <w:rPr>
                <w:b w:val="0"/>
                <w:sz w:val="16"/>
                <w:szCs w:val="16"/>
                <w:lang w:val="en-GB"/>
              </w:rPr>
            </w:pPr>
            <w:r w:rsidRPr="00F01F39">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rsidR="009E71C6" w:rsidRPr="00F01F39" w:rsidRDefault="004F4AB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No, only the general approach applies.</w:t>
            </w:r>
          </w:p>
        </w:tc>
      </w:tr>
      <w:tr w:rsidR="009E71C6" w:rsidRPr="00F01F39"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5756EF" w:rsidP="00427661">
            <w:pPr>
              <w:rPr>
                <w:lang w:val="en-GB"/>
              </w:rPr>
            </w:pPr>
            <w:r w:rsidRPr="00F01F39">
              <w:rPr>
                <w:i/>
                <w:sz w:val="16"/>
                <w:szCs w:val="16"/>
                <w:lang w:val="en-GB"/>
              </w:rPr>
              <w:t>Tax residence of company</w:t>
            </w:r>
          </w:p>
        </w:tc>
      </w:tr>
      <w:tr w:rsidR="005756EF"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756EF" w:rsidRPr="00F01F39" w:rsidRDefault="005756EF" w:rsidP="00CD34C0">
            <w:pPr>
              <w:pStyle w:val="ListNumber"/>
              <w:tabs>
                <w:tab w:val="clear" w:pos="284"/>
              </w:tabs>
              <w:ind w:left="340" w:hanging="340"/>
              <w:jc w:val="left"/>
              <w:rPr>
                <w:b w:val="0"/>
                <w:i/>
                <w:sz w:val="16"/>
                <w:szCs w:val="16"/>
                <w:lang w:val="en-GB"/>
              </w:rPr>
            </w:pPr>
            <w:r w:rsidRPr="00F01F39">
              <w:rPr>
                <w:b w:val="0"/>
                <w:sz w:val="16"/>
                <w:szCs w:val="16"/>
                <w:lang w:val="en-GB"/>
              </w:rPr>
              <w:t>Based on domestic tax rules</w:t>
            </w:r>
            <w:r w:rsidR="004A21BD" w:rsidRPr="00F01F39">
              <w:rPr>
                <w:b w:val="0"/>
                <w:sz w:val="16"/>
                <w:szCs w:val="16"/>
                <w:lang w:val="en-GB"/>
              </w:rPr>
              <w:t xml:space="preserve">, without the application of </w:t>
            </w:r>
            <w:r w:rsidR="0019505F" w:rsidRPr="00F01F39">
              <w:rPr>
                <w:b w:val="0"/>
                <w:sz w:val="16"/>
                <w:szCs w:val="16"/>
                <w:lang w:val="en-GB"/>
              </w:rPr>
              <w:t>any tax treaty</w:t>
            </w:r>
            <w:r w:rsidRPr="00F01F39">
              <w:rPr>
                <w:b w:val="0"/>
                <w:sz w:val="16"/>
                <w:szCs w:val="16"/>
                <w:lang w:val="en-GB"/>
              </w:rPr>
              <w:t>, can a company incorporated in your MS be considered non-tax resident if its management and control is situated in another state?</w:t>
            </w:r>
            <w:r w:rsidR="00CD34C0" w:rsidRPr="00F01F39">
              <w:rPr>
                <w:b w:val="0"/>
                <w:sz w:val="16"/>
                <w:szCs w:val="16"/>
                <w:lang w:val="en-GB"/>
              </w:rPr>
              <w:t xml:space="preserve"> If yes, please explain under which circumstances.</w:t>
            </w:r>
          </w:p>
        </w:tc>
        <w:tc>
          <w:tcPr>
            <w:tcW w:w="3933" w:type="dxa"/>
          </w:tcPr>
          <w:p w:rsidR="002111CB" w:rsidRPr="00F01F39" w:rsidRDefault="0097415B"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In principle no, but yes, if the company does not have registered office in Slovakia, in practice this </w:t>
            </w:r>
            <w:r w:rsidR="00381F50" w:rsidRPr="00F01F39">
              <w:rPr>
                <w:color w:val="auto"/>
                <w:sz w:val="16"/>
                <w:szCs w:val="16"/>
                <w:lang w:val="en-GB"/>
              </w:rPr>
              <w:t>however may not be possible with the exception of SE based on Civil law.</w:t>
            </w:r>
            <w:r w:rsidR="002111CB" w:rsidRPr="00F01F39">
              <w:rPr>
                <w:color w:val="auto"/>
                <w:sz w:val="16"/>
                <w:szCs w:val="16"/>
                <w:lang w:val="en-GB"/>
              </w:rPr>
              <w:t xml:space="preserve"> §2d SITA. </w:t>
            </w:r>
          </w:p>
          <w:p w:rsidR="005756EF" w:rsidRPr="00F01F39" w:rsidRDefault="002111CB" w:rsidP="00057BA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 xml:space="preserve">If the company has its </w:t>
            </w:r>
            <w:r w:rsidR="00057BA8" w:rsidRPr="00F01F39">
              <w:rPr>
                <w:color w:val="auto"/>
                <w:sz w:val="16"/>
                <w:szCs w:val="16"/>
                <w:lang w:val="en-GB"/>
              </w:rPr>
              <w:t xml:space="preserve">registered office </w:t>
            </w:r>
            <w:r w:rsidRPr="00F01F39">
              <w:rPr>
                <w:color w:val="auto"/>
                <w:sz w:val="16"/>
                <w:szCs w:val="16"/>
                <w:lang w:val="en-GB"/>
              </w:rPr>
              <w:t xml:space="preserve">or place of effective management in </w:t>
            </w:r>
            <w:r w:rsidR="00057BA8" w:rsidRPr="00F01F39">
              <w:rPr>
                <w:color w:val="auto"/>
                <w:sz w:val="16"/>
                <w:szCs w:val="16"/>
                <w:lang w:val="en-GB"/>
              </w:rPr>
              <w:t>the territory of the Slovak Republic</w:t>
            </w:r>
            <w:r w:rsidRPr="00F01F39">
              <w:rPr>
                <w:color w:val="auto"/>
                <w:sz w:val="16"/>
                <w:szCs w:val="16"/>
                <w:lang w:val="en-GB"/>
              </w:rPr>
              <w:t>, under local law such company is considered a tax resident</w:t>
            </w:r>
            <w:r w:rsidR="00057BA8" w:rsidRPr="00F01F39">
              <w:rPr>
                <w:color w:val="auto"/>
                <w:sz w:val="16"/>
                <w:szCs w:val="16"/>
                <w:lang w:val="en-GB"/>
              </w:rPr>
              <w:t xml:space="preserve"> of Slovakia</w:t>
            </w:r>
            <w:r w:rsidR="0065560A" w:rsidRPr="00F01F39">
              <w:rPr>
                <w:color w:val="auto"/>
                <w:sz w:val="16"/>
                <w:szCs w:val="16"/>
                <w:lang w:val="en-GB"/>
              </w:rPr>
              <w:t>.</w:t>
            </w:r>
          </w:p>
        </w:tc>
      </w:tr>
      <w:tr w:rsidR="005756EF"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5756EF" w:rsidRPr="00F01F39" w:rsidRDefault="005756EF" w:rsidP="005756EF">
            <w:pPr>
              <w:pStyle w:val="ListNumber"/>
              <w:tabs>
                <w:tab w:val="clear" w:pos="284"/>
              </w:tabs>
              <w:ind w:left="340" w:hanging="340"/>
              <w:jc w:val="left"/>
              <w:rPr>
                <w:b w:val="0"/>
                <w:sz w:val="16"/>
                <w:szCs w:val="16"/>
                <w:lang w:val="en-GB"/>
              </w:rPr>
            </w:pPr>
            <w:r w:rsidRPr="00F01F39">
              <w:rPr>
                <w:b w:val="0"/>
                <w:sz w:val="16"/>
                <w:szCs w:val="16"/>
                <w:lang w:val="en-GB"/>
              </w:rPr>
              <w:t>If yes</w:t>
            </w:r>
            <w:r w:rsidR="003A6F57" w:rsidRPr="00F01F39">
              <w:rPr>
                <w:b w:val="0"/>
                <w:sz w:val="16"/>
                <w:szCs w:val="16"/>
                <w:lang w:val="en-GB"/>
              </w:rPr>
              <w:t xml:space="preserve"> to 40</w:t>
            </w:r>
            <w:r w:rsidRPr="00F01F39">
              <w:rPr>
                <w:b w:val="0"/>
                <w:sz w:val="16"/>
                <w:szCs w:val="16"/>
                <w:lang w:val="en-GB"/>
              </w:rPr>
              <w:t>, please consider Model ATP-Structure no. 6. Would the Structure work if Company B1 is incorporated in your MS but managed and controlled abroad in an offshore-state?</w:t>
            </w:r>
          </w:p>
        </w:tc>
        <w:tc>
          <w:tcPr>
            <w:tcW w:w="3933" w:type="dxa"/>
          </w:tcPr>
          <w:p w:rsidR="005756EF" w:rsidRPr="00F01F39" w:rsidRDefault="002111CB"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n/a</w:t>
            </w:r>
          </w:p>
        </w:tc>
      </w:tr>
      <w:tr w:rsidR="009E71C6" w:rsidRPr="00F01F39"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5756EF" w:rsidP="00427661">
            <w:pPr>
              <w:rPr>
                <w:lang w:val="en-GB"/>
              </w:rPr>
            </w:pPr>
            <w:r w:rsidRPr="00F01F39">
              <w:rPr>
                <w:i/>
                <w:sz w:val="16"/>
                <w:szCs w:val="16"/>
                <w:lang w:val="en-GB"/>
              </w:rPr>
              <w:t>Tax ruling practices</w:t>
            </w:r>
          </w:p>
        </w:tc>
      </w:tr>
      <w:tr w:rsidR="005756EF"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5756EF" w:rsidRPr="00F01F39" w:rsidRDefault="005756EF" w:rsidP="00B94C91">
            <w:pPr>
              <w:pStyle w:val="ListNumber"/>
              <w:tabs>
                <w:tab w:val="clear" w:pos="284"/>
              </w:tabs>
              <w:ind w:left="340" w:hanging="340"/>
              <w:jc w:val="left"/>
              <w:rPr>
                <w:b w:val="0"/>
                <w:i/>
                <w:sz w:val="16"/>
                <w:szCs w:val="16"/>
                <w:lang w:val="en-GB"/>
              </w:rPr>
            </w:pPr>
            <w:r w:rsidRPr="00F01F39">
              <w:rPr>
                <w:b w:val="0"/>
                <w:sz w:val="16"/>
                <w:szCs w:val="16"/>
                <w:lang w:val="en-GB"/>
              </w:rPr>
              <w:t>Some states offer tax rulings</w:t>
            </w:r>
            <w:r w:rsidR="00B94C91" w:rsidRPr="00F01F39">
              <w:rPr>
                <w:b w:val="0"/>
                <w:sz w:val="16"/>
                <w:szCs w:val="16"/>
                <w:lang w:val="en-GB"/>
              </w:rPr>
              <w:t xml:space="preserve"> (incl. so-called APAs)</w:t>
            </w:r>
            <w:r w:rsidRPr="00F01F39">
              <w:rPr>
                <w:b w:val="0"/>
                <w:sz w:val="16"/>
                <w:szCs w:val="16"/>
                <w:lang w:val="en-GB"/>
              </w:rPr>
              <w:t xml:space="preserve"> that confirm non-arm’s length-transactions or the amount of spread between interest or royalty income and cost in various international flow through-structures. As an example, please refer to Model ATP-Structure no. 1. Does your MS offer this form of tax ruling practices</w:t>
            </w:r>
            <w:r w:rsidR="00B94C91" w:rsidRPr="00F01F39">
              <w:rPr>
                <w:b w:val="0"/>
                <w:sz w:val="16"/>
                <w:szCs w:val="16"/>
                <w:lang w:val="en-GB"/>
              </w:rPr>
              <w:t xml:space="preserve"> or APAs</w:t>
            </w:r>
            <w:r w:rsidRPr="00F01F39">
              <w:rPr>
                <w:b w:val="0"/>
                <w:sz w:val="16"/>
                <w:szCs w:val="16"/>
                <w:lang w:val="en-GB"/>
              </w:rPr>
              <w:t>?</w:t>
            </w:r>
          </w:p>
        </w:tc>
        <w:tc>
          <w:tcPr>
            <w:tcW w:w="3933" w:type="dxa"/>
          </w:tcPr>
          <w:p w:rsidR="005756EF" w:rsidRPr="00F01F39" w:rsidRDefault="002111CB"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No.</w:t>
            </w:r>
            <w:r w:rsidR="00DB15AB" w:rsidRPr="00F01F39">
              <w:rPr>
                <w:color w:val="auto"/>
                <w:sz w:val="16"/>
                <w:szCs w:val="16"/>
                <w:lang w:val="en-GB"/>
              </w:rPr>
              <w:t xml:space="preserve"> Only regular APAs</w:t>
            </w:r>
            <w:r w:rsidR="00381F50" w:rsidRPr="00F01F39">
              <w:rPr>
                <w:color w:val="auto"/>
                <w:sz w:val="16"/>
                <w:szCs w:val="16"/>
                <w:lang w:val="en-GB"/>
              </w:rPr>
              <w:t xml:space="preserve"> confirming arm´s length price are </w:t>
            </w:r>
            <w:r w:rsidR="0011457D" w:rsidRPr="00F01F39">
              <w:rPr>
                <w:color w:val="auto"/>
                <w:sz w:val="16"/>
                <w:szCs w:val="16"/>
                <w:lang w:val="en-GB"/>
              </w:rPr>
              <w:t>positive</w:t>
            </w:r>
            <w:r w:rsidR="00DB15AB" w:rsidRPr="00F01F39">
              <w:rPr>
                <w:color w:val="auto"/>
                <w:sz w:val="16"/>
                <w:szCs w:val="16"/>
                <w:lang w:val="en-GB"/>
              </w:rPr>
              <w:t xml:space="preserve">, to support bilateral ones </w:t>
            </w:r>
            <w:r w:rsidR="00900B19" w:rsidRPr="00F01F39">
              <w:rPr>
                <w:color w:val="auto"/>
                <w:sz w:val="16"/>
                <w:szCs w:val="16"/>
                <w:lang w:val="en-GB"/>
              </w:rPr>
              <w:t>are possible.</w:t>
            </w:r>
          </w:p>
        </w:tc>
      </w:tr>
      <w:tr w:rsidR="005756EF" w:rsidRPr="00F01F39"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756EF" w:rsidRPr="00F01F39" w:rsidRDefault="00FF0B92" w:rsidP="00CD34C0">
            <w:pPr>
              <w:pStyle w:val="ListNumber"/>
              <w:tabs>
                <w:tab w:val="clear" w:pos="284"/>
              </w:tabs>
              <w:ind w:left="340" w:hanging="340"/>
              <w:jc w:val="left"/>
              <w:rPr>
                <w:b w:val="0"/>
                <w:sz w:val="16"/>
                <w:szCs w:val="16"/>
                <w:lang w:val="en-GB"/>
              </w:rPr>
            </w:pPr>
            <w:r w:rsidRPr="00F01F39">
              <w:rPr>
                <w:b w:val="0"/>
                <w:sz w:val="16"/>
                <w:szCs w:val="16"/>
                <w:lang w:val="en-GB"/>
              </w:rPr>
              <w:t>Do your local transfer pricing-rules allow for the stripping of income from a domestic company by taking away legal ownership of functions, assets and risks? In other word, i</w:t>
            </w:r>
            <w:r w:rsidR="005756EF" w:rsidRPr="00F01F39">
              <w:rPr>
                <w:b w:val="0"/>
                <w:sz w:val="16"/>
                <w:szCs w:val="16"/>
                <w:lang w:val="en-GB"/>
              </w:rPr>
              <w:t>s it accepted that relatively small amounts of the group’s income is taxed in your MS on the basis of low risk, few assets held and only few functions performed in your MS?</w:t>
            </w:r>
          </w:p>
        </w:tc>
        <w:tc>
          <w:tcPr>
            <w:tcW w:w="3933" w:type="dxa"/>
          </w:tcPr>
          <w:p w:rsidR="005756EF" w:rsidRPr="00F01F39" w:rsidRDefault="00900B19" w:rsidP="0066071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01F39">
              <w:rPr>
                <w:color w:val="auto"/>
                <w:sz w:val="16"/>
                <w:szCs w:val="16"/>
                <w:lang w:val="en-GB"/>
              </w:rPr>
              <w:t>There are no explicit rules in this regard</w:t>
            </w:r>
            <w:r w:rsidR="0011457D" w:rsidRPr="00F01F39">
              <w:rPr>
                <w:color w:val="auto"/>
                <w:sz w:val="16"/>
                <w:szCs w:val="16"/>
                <w:lang w:val="en-GB"/>
              </w:rPr>
              <w:t xml:space="preserve">. </w:t>
            </w:r>
            <w:r w:rsidR="0066071D" w:rsidRPr="00F01F39">
              <w:rPr>
                <w:color w:val="auto"/>
                <w:sz w:val="16"/>
                <w:szCs w:val="16"/>
                <w:lang w:val="en-GB"/>
              </w:rPr>
              <w:t>General principle of transfer pricing rules</w:t>
            </w:r>
            <w:r w:rsidR="001322C9" w:rsidRPr="00F01F39">
              <w:rPr>
                <w:color w:val="auto"/>
                <w:sz w:val="16"/>
                <w:szCs w:val="16"/>
                <w:lang w:val="en-GB"/>
              </w:rPr>
              <w:t xml:space="preserve"> do not prevent functions, assets and risk stripping. </w:t>
            </w:r>
            <w:r w:rsidRPr="00F01F39">
              <w:rPr>
                <w:color w:val="auto"/>
                <w:sz w:val="16"/>
                <w:szCs w:val="16"/>
                <w:lang w:val="en-GB"/>
              </w:rPr>
              <w:t xml:space="preserve"> </w:t>
            </w:r>
          </w:p>
        </w:tc>
      </w:tr>
      <w:tr w:rsidR="005756EF"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BC066D" w:rsidRPr="00F01F39" w:rsidRDefault="005756EF" w:rsidP="00D67218">
            <w:pPr>
              <w:pStyle w:val="ListNumber"/>
              <w:tabs>
                <w:tab w:val="clear" w:pos="284"/>
              </w:tabs>
              <w:ind w:left="340" w:hanging="340"/>
              <w:jc w:val="left"/>
              <w:rPr>
                <w:b w:val="0"/>
                <w:sz w:val="16"/>
                <w:szCs w:val="16"/>
                <w:lang w:val="en-GB"/>
              </w:rPr>
            </w:pPr>
            <w:r w:rsidRPr="00F01F39">
              <w:rPr>
                <w:b w:val="0"/>
                <w:sz w:val="16"/>
                <w:szCs w:val="16"/>
                <w:lang w:val="en-GB"/>
              </w:rPr>
              <w:t xml:space="preserve">Can a company in your MS obtain a ruling </w:t>
            </w:r>
            <w:r w:rsidR="00BC066D" w:rsidRPr="00F01F39">
              <w:rPr>
                <w:b w:val="0"/>
                <w:sz w:val="16"/>
                <w:szCs w:val="16"/>
                <w:lang w:val="en-GB"/>
              </w:rPr>
              <w:t xml:space="preserve">or APA </w:t>
            </w:r>
            <w:r w:rsidRPr="00F01F39">
              <w:rPr>
                <w:b w:val="0"/>
                <w:sz w:val="16"/>
                <w:szCs w:val="16"/>
                <w:lang w:val="en-GB"/>
              </w:rPr>
              <w:t xml:space="preserve">that </w:t>
            </w:r>
            <w:r w:rsidR="00BC066D" w:rsidRPr="00F01F39">
              <w:rPr>
                <w:b w:val="0"/>
                <w:sz w:val="16"/>
                <w:szCs w:val="16"/>
                <w:lang w:val="en-GB"/>
              </w:rPr>
              <w:t xml:space="preserve">a) </w:t>
            </w:r>
            <w:r w:rsidRPr="00F01F39">
              <w:rPr>
                <w:b w:val="0"/>
                <w:sz w:val="16"/>
                <w:szCs w:val="16"/>
                <w:lang w:val="en-GB"/>
              </w:rPr>
              <w:t>provides for tax exemption of profits considered to exceed an arm’s length-income</w:t>
            </w:r>
            <w:r w:rsidR="00BC066D" w:rsidRPr="00F01F39">
              <w:rPr>
                <w:b w:val="0"/>
                <w:sz w:val="16"/>
                <w:szCs w:val="16"/>
                <w:lang w:val="en-GB"/>
              </w:rPr>
              <w:t xml:space="preserve"> or considered to have been left to the company by its shareholders (capital contribution), or b) provides for the deduction of deemed expenses that would have been due under arm-‘s length conditions?</w:t>
            </w:r>
          </w:p>
          <w:p w:rsidR="005756EF" w:rsidRPr="00F01F39" w:rsidRDefault="005756EF" w:rsidP="00D67218">
            <w:pPr>
              <w:pStyle w:val="ListNumber"/>
              <w:numPr>
                <w:ilvl w:val="0"/>
                <w:numId w:val="0"/>
              </w:numPr>
              <w:ind w:left="340"/>
              <w:jc w:val="left"/>
              <w:rPr>
                <w:b w:val="0"/>
                <w:sz w:val="16"/>
                <w:szCs w:val="16"/>
                <w:lang w:val="en-GB"/>
              </w:rPr>
            </w:pPr>
          </w:p>
        </w:tc>
        <w:tc>
          <w:tcPr>
            <w:tcW w:w="3933" w:type="dxa"/>
          </w:tcPr>
          <w:p w:rsidR="008C71B9" w:rsidRPr="00F01F39" w:rsidRDefault="00900B19"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No</w:t>
            </w:r>
            <w:r w:rsidR="008840A9" w:rsidRPr="00F01F39">
              <w:rPr>
                <w:color w:val="auto"/>
                <w:sz w:val="16"/>
                <w:szCs w:val="16"/>
                <w:lang w:val="en-GB"/>
              </w:rPr>
              <w:t>, generally not.</w:t>
            </w:r>
          </w:p>
        </w:tc>
      </w:tr>
      <w:tr w:rsidR="009E71C6" w:rsidRPr="00F01F39"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5756EF" w:rsidP="00427661">
            <w:pPr>
              <w:rPr>
                <w:lang w:val="en-GB"/>
              </w:rPr>
            </w:pPr>
            <w:r w:rsidRPr="00F01F39">
              <w:rPr>
                <w:i/>
                <w:sz w:val="16"/>
                <w:szCs w:val="16"/>
                <w:lang w:val="en-GB"/>
              </w:rPr>
              <w:t>GAAR/SAAR</w:t>
            </w:r>
          </w:p>
        </w:tc>
      </w:tr>
      <w:tr w:rsidR="005756EF"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5756EF" w:rsidRPr="00F01F39" w:rsidRDefault="005756EF" w:rsidP="005756EF">
            <w:pPr>
              <w:pStyle w:val="ListNumber"/>
              <w:tabs>
                <w:tab w:val="clear" w:pos="284"/>
              </w:tabs>
              <w:ind w:left="340" w:hanging="340"/>
              <w:jc w:val="left"/>
              <w:rPr>
                <w:b w:val="0"/>
                <w:i/>
                <w:sz w:val="16"/>
                <w:szCs w:val="16"/>
                <w:lang w:val="en-GB"/>
              </w:rPr>
            </w:pPr>
            <w:r w:rsidRPr="00F01F39">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rsidR="006D0B10" w:rsidRPr="00F01F39" w:rsidRDefault="00645D9D" w:rsidP="00645D9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 xml:space="preserve">Slovak tax legislation applies </w:t>
            </w:r>
            <w:r w:rsidR="00900B19" w:rsidRPr="00F01F39">
              <w:rPr>
                <w:color w:val="auto"/>
                <w:sz w:val="16"/>
                <w:szCs w:val="16"/>
                <w:lang w:val="en-GB"/>
              </w:rPr>
              <w:t xml:space="preserve">mainly general rules - </w:t>
            </w:r>
            <w:r w:rsidRPr="00F01F39">
              <w:rPr>
                <w:color w:val="auto"/>
                <w:sz w:val="16"/>
                <w:szCs w:val="16"/>
                <w:lang w:val="en-GB"/>
              </w:rPr>
              <w:t xml:space="preserve">the substance-over-form rule. </w:t>
            </w:r>
            <w:r w:rsidR="006D0B10" w:rsidRPr="00F01F39">
              <w:rPr>
                <w:color w:val="auto"/>
                <w:sz w:val="16"/>
                <w:szCs w:val="16"/>
                <w:lang w:val="en-GB"/>
              </w:rPr>
              <w:t>Legal act or other circumstances decisive for enquiry, assessment or collection of tax which do not have economic reason and which result in intentional circumvention of tax obligation or which aim to gain such tax benefit for which taxable entity would not be entitled or which result in intentional decrease of tax obligation shall not be taken into consideration during the tax administration. §3(6) ATA</w:t>
            </w:r>
          </w:p>
          <w:p w:rsidR="008840A9" w:rsidRPr="00F01F39" w:rsidRDefault="008840A9" w:rsidP="00645D9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01F39">
              <w:rPr>
                <w:color w:val="auto"/>
                <w:sz w:val="16"/>
                <w:szCs w:val="16"/>
                <w:lang w:val="en-GB"/>
              </w:rPr>
              <w:t>It also specifies that costs are only tax deductible if incurred to generate, maintain and ensure the taxable income of the taxpayer.</w:t>
            </w:r>
          </w:p>
          <w:p w:rsidR="005756EF" w:rsidRPr="00F01F39" w:rsidRDefault="005756EF" w:rsidP="00645D9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F01F39"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F01F39" w:rsidRDefault="005756EF" w:rsidP="00427661">
            <w:pPr>
              <w:rPr>
                <w:lang w:val="en-GB"/>
              </w:rPr>
            </w:pPr>
            <w:r w:rsidRPr="00F01F39">
              <w:rPr>
                <w:i/>
                <w:sz w:val="16"/>
                <w:szCs w:val="16"/>
                <w:lang w:val="en-GB"/>
              </w:rPr>
              <w:lastRenderedPageBreak/>
              <w:t>Other ATP indicators</w:t>
            </w:r>
          </w:p>
        </w:tc>
      </w:tr>
      <w:tr w:rsidR="00900B19" w:rsidRPr="00F01F39"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F01F39" w:rsidRDefault="005756EF" w:rsidP="00900B19">
            <w:pPr>
              <w:pStyle w:val="ListNumber"/>
              <w:tabs>
                <w:tab w:val="clear" w:pos="284"/>
              </w:tabs>
              <w:ind w:left="340" w:hanging="340"/>
              <w:jc w:val="left"/>
              <w:rPr>
                <w:b w:val="0"/>
                <w:i/>
                <w:color w:val="404040" w:themeColor="text1" w:themeTint="BF"/>
                <w:sz w:val="16"/>
                <w:szCs w:val="16"/>
                <w:lang w:val="en-GB"/>
              </w:rPr>
            </w:pPr>
            <w:r w:rsidRPr="00F01F39">
              <w:rPr>
                <w:b w:val="0"/>
                <w:color w:val="404040" w:themeColor="text1" w:themeTint="BF"/>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rsidR="00900B19" w:rsidRPr="00F01F39" w:rsidRDefault="00900B19" w:rsidP="00900B1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cs="Arial"/>
                <w:sz w:val="16"/>
                <w:szCs w:val="16"/>
                <w:lang w:val="en-GB"/>
              </w:rPr>
            </w:pPr>
            <w:r w:rsidRPr="00F01F39">
              <w:rPr>
                <w:b/>
                <w:bCs/>
                <w:sz w:val="16"/>
                <w:szCs w:val="16"/>
                <w:lang w:val="en-GB"/>
              </w:rPr>
              <w:t xml:space="preserve">1) </w:t>
            </w:r>
            <w:r w:rsidRPr="00F01F39">
              <w:rPr>
                <w:rFonts w:cs="Arial"/>
                <w:b/>
                <w:bCs/>
                <w:sz w:val="16"/>
                <w:szCs w:val="16"/>
                <w:u w:val="single"/>
                <w:lang w:val="en-GB"/>
              </w:rPr>
              <w:t>Interest payments</w:t>
            </w:r>
            <w:r w:rsidRPr="00F01F39">
              <w:rPr>
                <w:rFonts w:cs="Arial"/>
                <w:sz w:val="16"/>
                <w:szCs w:val="16"/>
                <w:lang w:val="en-GB"/>
              </w:rPr>
              <w:t xml:space="preserve"> from Slovak entities are subject to 19% resp. 35% WHT. However, there is one harmful exception for payments with source in Slovakia not subject to any taxation at all. This </w:t>
            </w:r>
            <w:r w:rsidRPr="00F01F39">
              <w:rPr>
                <w:rFonts w:cs="Arial"/>
                <w:b/>
                <w:bCs/>
                <w:sz w:val="16"/>
                <w:szCs w:val="16"/>
                <w:lang w:val="en-GB"/>
              </w:rPr>
              <w:t>tax exemption</w:t>
            </w:r>
            <w:r w:rsidR="003B4258" w:rsidRPr="00F01F39">
              <w:rPr>
                <w:rFonts w:cs="Arial"/>
                <w:sz w:val="16"/>
                <w:szCs w:val="16"/>
                <w:lang w:val="en-GB"/>
              </w:rPr>
              <w:t xml:space="preserve"> (§</w:t>
            </w:r>
            <w:r w:rsidRPr="00F01F39">
              <w:rPr>
                <w:rFonts w:cs="Arial"/>
                <w:sz w:val="16"/>
                <w:szCs w:val="16"/>
                <w:lang w:val="en-GB"/>
              </w:rPr>
              <w:t xml:space="preserve">16 </w:t>
            </w:r>
            <w:r w:rsidR="003B4258" w:rsidRPr="00F01F39">
              <w:rPr>
                <w:rFonts w:cs="Arial"/>
                <w:sz w:val="16"/>
                <w:szCs w:val="16"/>
                <w:lang w:val="en-GB"/>
              </w:rPr>
              <w:t>(1)(e)(3) SITA</w:t>
            </w:r>
            <w:r w:rsidRPr="00F01F39">
              <w:rPr>
                <w:rFonts w:cs="Arial"/>
                <w:sz w:val="16"/>
                <w:szCs w:val="16"/>
                <w:lang w:val="en-GB"/>
              </w:rPr>
              <w:t xml:space="preserve">) applies to income from </w:t>
            </w:r>
            <w:r w:rsidRPr="00F01F39">
              <w:rPr>
                <w:rFonts w:cs="Arial"/>
                <w:b/>
                <w:bCs/>
                <w:sz w:val="16"/>
                <w:szCs w:val="16"/>
                <w:lang w:val="en-GB"/>
              </w:rPr>
              <w:t>bonds and bills of credit</w:t>
            </w:r>
            <w:r w:rsidRPr="00F01F39">
              <w:rPr>
                <w:rFonts w:cs="Arial"/>
                <w:sz w:val="16"/>
                <w:szCs w:val="16"/>
                <w:lang w:val="en-GB"/>
              </w:rPr>
              <w:t xml:space="preserve"> including interest payments, even if paid out by Slovak residents to recipients residing in a </w:t>
            </w:r>
            <w:r w:rsidRPr="00F01F39">
              <w:rPr>
                <w:bCs/>
                <w:sz w:val="16"/>
                <w:szCs w:val="16"/>
                <w:lang w:val="en-GB" w:eastAsia="en-GB"/>
              </w:rPr>
              <w:t>country outside the White List (i</w:t>
            </w:r>
            <w:r w:rsidR="00CA23FD" w:rsidRPr="00F01F39">
              <w:rPr>
                <w:bCs/>
                <w:sz w:val="16"/>
                <w:szCs w:val="16"/>
                <w:lang w:val="en-GB" w:eastAsia="en-GB"/>
              </w:rPr>
              <w:t>.</w:t>
            </w:r>
            <w:r w:rsidRPr="00F01F39">
              <w:rPr>
                <w:bCs/>
                <w:sz w:val="16"/>
                <w:szCs w:val="16"/>
                <w:lang w:val="en-GB" w:eastAsia="en-GB"/>
              </w:rPr>
              <w:t>e</w:t>
            </w:r>
            <w:r w:rsidR="00CA23FD" w:rsidRPr="00F01F39">
              <w:rPr>
                <w:bCs/>
                <w:sz w:val="16"/>
                <w:szCs w:val="16"/>
                <w:lang w:val="en-GB" w:eastAsia="en-GB"/>
              </w:rPr>
              <w:t>.</w:t>
            </w:r>
            <w:r w:rsidRPr="00F01F39">
              <w:rPr>
                <w:bCs/>
                <w:sz w:val="16"/>
                <w:szCs w:val="16"/>
                <w:lang w:val="en-GB" w:eastAsia="en-GB"/>
              </w:rPr>
              <w:t xml:space="preserve"> on the Black List). This exception has been introduced to Slovak legislation through an</w:t>
            </w:r>
            <w:r w:rsidRPr="00F01F39">
              <w:rPr>
                <w:rFonts w:cs="Arial"/>
                <w:sz w:val="16"/>
                <w:szCs w:val="16"/>
                <w:lang w:val="en-GB"/>
              </w:rPr>
              <w:t xml:space="preserve"> amendment to the Customs Act, i</w:t>
            </w:r>
            <w:r w:rsidR="00CA23FD" w:rsidRPr="00F01F39">
              <w:rPr>
                <w:rFonts w:cs="Arial"/>
                <w:sz w:val="16"/>
                <w:szCs w:val="16"/>
                <w:lang w:val="en-GB"/>
              </w:rPr>
              <w:t>.</w:t>
            </w:r>
            <w:r w:rsidRPr="00F01F39">
              <w:rPr>
                <w:rFonts w:cs="Arial"/>
                <w:sz w:val="16"/>
                <w:szCs w:val="16"/>
                <w:lang w:val="en-GB"/>
              </w:rPr>
              <w:t>e</w:t>
            </w:r>
            <w:r w:rsidR="00CA23FD" w:rsidRPr="00F01F39">
              <w:rPr>
                <w:rFonts w:cs="Arial"/>
                <w:sz w:val="16"/>
                <w:szCs w:val="16"/>
                <w:lang w:val="en-GB"/>
              </w:rPr>
              <w:t>.</w:t>
            </w:r>
            <w:r w:rsidRPr="00F01F39">
              <w:rPr>
                <w:rFonts w:cs="Arial"/>
                <w:sz w:val="16"/>
                <w:szCs w:val="16"/>
                <w:lang w:val="en-GB"/>
              </w:rPr>
              <w:t xml:space="preserve"> out of the scope of the regular legislation process and has been effective since 01/07/2013.</w:t>
            </w:r>
          </w:p>
          <w:p w:rsidR="00BD5872" w:rsidRPr="00F01F39" w:rsidRDefault="00BD5872" w:rsidP="00900B1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cs="Arial"/>
                <w:sz w:val="16"/>
                <w:szCs w:val="16"/>
                <w:lang w:val="en-GB"/>
              </w:rPr>
            </w:pPr>
          </w:p>
          <w:p w:rsidR="00900B19" w:rsidRPr="00F01F39" w:rsidRDefault="00900B19" w:rsidP="00900B1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cs="Arial"/>
                <w:sz w:val="16"/>
                <w:szCs w:val="16"/>
                <w:lang w:val="en-GB"/>
              </w:rPr>
            </w:pPr>
            <w:r w:rsidRPr="00F01F39">
              <w:rPr>
                <w:b/>
                <w:bCs/>
                <w:sz w:val="16"/>
                <w:szCs w:val="16"/>
                <w:lang w:val="en-GB"/>
              </w:rPr>
              <w:t xml:space="preserve">2) </w:t>
            </w:r>
            <w:r w:rsidRPr="00F01F39">
              <w:rPr>
                <w:rFonts w:cs="Arial"/>
                <w:b/>
                <w:bCs/>
                <w:sz w:val="16"/>
                <w:szCs w:val="16"/>
                <w:u w:val="single"/>
                <w:lang w:val="en-GB"/>
              </w:rPr>
              <w:t xml:space="preserve">Companies with no substance in Favourable Tax Regimes are often accepted for tax purposes: </w:t>
            </w:r>
            <w:r w:rsidRPr="00F01F39">
              <w:rPr>
                <w:rFonts w:cs="Arial"/>
                <w:sz w:val="16"/>
                <w:szCs w:val="16"/>
                <w:lang w:val="en-GB"/>
              </w:rPr>
              <w:t xml:space="preserve">Tax residency is tested in practice rather formally, even if a DTT is applied and place of effective management should be decisive. </w:t>
            </w:r>
            <w:r w:rsidR="001322C9" w:rsidRPr="00F01F39">
              <w:rPr>
                <w:rFonts w:cs="Arial"/>
                <w:sz w:val="16"/>
                <w:szCs w:val="16"/>
                <w:lang w:val="en-GB"/>
              </w:rPr>
              <w:t xml:space="preserve">The tax administration does challenges cases, where the abuse is obvious. </w:t>
            </w:r>
            <w:r w:rsidRPr="00F01F39">
              <w:rPr>
                <w:rFonts w:cs="Arial"/>
                <w:sz w:val="16"/>
                <w:szCs w:val="16"/>
                <w:lang w:val="en-GB"/>
              </w:rPr>
              <w:t xml:space="preserve">The most visible example can be documented by the latest decision of the Supreme Court of Slovakia on a Dutch Holding Case. </w:t>
            </w:r>
            <w:r w:rsidR="001322C9" w:rsidRPr="00F01F39">
              <w:rPr>
                <w:rFonts w:cs="Arial"/>
                <w:sz w:val="16"/>
                <w:szCs w:val="16"/>
                <w:lang w:val="en-GB"/>
              </w:rPr>
              <w:t>This case is still not closed</w:t>
            </w:r>
            <w:r w:rsidR="00BD5872" w:rsidRPr="00F01F39">
              <w:rPr>
                <w:rFonts w:cs="Arial"/>
                <w:sz w:val="16"/>
                <w:szCs w:val="16"/>
                <w:lang w:val="en-GB"/>
              </w:rPr>
              <w:t xml:space="preserve"> and may not have any precedence for other cases as it may not be published</w:t>
            </w:r>
            <w:r w:rsidR="001322C9" w:rsidRPr="00F01F39">
              <w:rPr>
                <w:rFonts w:cs="Arial"/>
                <w:sz w:val="16"/>
                <w:szCs w:val="16"/>
                <w:lang w:val="en-GB"/>
              </w:rPr>
              <w:t xml:space="preserve">. </w:t>
            </w:r>
          </w:p>
          <w:p w:rsidR="00BD5872" w:rsidRPr="00F01F39" w:rsidRDefault="00BD5872" w:rsidP="00900B1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cs="Arial"/>
                <w:sz w:val="16"/>
                <w:szCs w:val="16"/>
                <w:lang w:val="en-GB"/>
              </w:rPr>
            </w:pPr>
          </w:p>
          <w:p w:rsidR="00900B19" w:rsidRPr="00F01F39" w:rsidRDefault="00900B19" w:rsidP="00900B1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cs="Arial"/>
                <w:sz w:val="16"/>
                <w:szCs w:val="16"/>
                <w:lang w:val="en-GB"/>
              </w:rPr>
            </w:pPr>
            <w:r w:rsidRPr="00F01F39">
              <w:rPr>
                <w:b/>
                <w:bCs/>
                <w:sz w:val="16"/>
                <w:szCs w:val="16"/>
                <w:lang w:val="en-GB"/>
              </w:rPr>
              <w:t xml:space="preserve">3) </w:t>
            </w:r>
            <w:r w:rsidRPr="00F01F39">
              <w:rPr>
                <w:rFonts w:cs="Arial"/>
                <w:b/>
                <w:bCs/>
                <w:sz w:val="16"/>
                <w:szCs w:val="16"/>
                <w:u w:val="single"/>
                <w:lang w:val="en-GB"/>
              </w:rPr>
              <w:t xml:space="preserve">Tax residency of natural persons:  </w:t>
            </w:r>
            <w:r w:rsidR="0013613F" w:rsidRPr="00F01F39">
              <w:rPr>
                <w:rFonts w:cs="Arial"/>
                <w:sz w:val="16"/>
                <w:szCs w:val="16"/>
                <w:lang w:val="en-GB"/>
              </w:rPr>
              <w:t>S</w:t>
            </w:r>
            <w:r w:rsidRPr="00F01F39">
              <w:rPr>
                <w:rFonts w:cs="Arial"/>
                <w:sz w:val="16"/>
                <w:szCs w:val="16"/>
                <w:lang w:val="en-GB"/>
              </w:rPr>
              <w:t>ITA defines tax residency in respect of formal criteria only (registered address for civic purposes and time test). Centre of vital interests is not tested at all. In other words, in order to avoid income taxation, a person pending more than 183 days is not required to be subject to personal income tax in Slovakia, even if he owns a house here and/or lives together with his family here if he is not registered here for civic law purposes.</w:t>
            </w:r>
          </w:p>
          <w:p w:rsidR="00BD5872" w:rsidRPr="00F01F39" w:rsidRDefault="00BD5872" w:rsidP="00900B1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cs="Arial"/>
                <w:sz w:val="16"/>
                <w:szCs w:val="16"/>
                <w:lang w:val="en-GB"/>
              </w:rPr>
            </w:pPr>
          </w:p>
          <w:p w:rsidR="00900B19" w:rsidRPr="00F01F39" w:rsidRDefault="00900B19" w:rsidP="00900B1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eastAsia="Times New Roman"/>
                <w:lang w:val="en-GB"/>
              </w:rPr>
            </w:pPr>
            <w:r w:rsidRPr="00F01F39">
              <w:rPr>
                <w:rFonts w:cs="Arial"/>
                <w:b/>
                <w:bCs/>
                <w:sz w:val="16"/>
                <w:szCs w:val="16"/>
                <w:u w:val="single"/>
                <w:lang w:val="en-GB"/>
              </w:rPr>
              <w:t>4) Penalties:</w:t>
            </w:r>
            <w:r w:rsidRPr="00F01F39">
              <w:rPr>
                <w:rFonts w:cs="Arial"/>
                <w:sz w:val="16"/>
                <w:szCs w:val="16"/>
                <w:lang w:val="en-GB"/>
              </w:rPr>
              <w:t xml:space="preserve"> </w:t>
            </w:r>
            <w:r w:rsidRPr="00F01F39">
              <w:rPr>
                <w:rFonts w:cs="Arial"/>
                <w:i/>
                <w:iCs/>
                <w:sz w:val="16"/>
                <w:szCs w:val="16"/>
                <w:lang w:val="en-GB"/>
              </w:rPr>
              <w:t>Criminal law:</w:t>
            </w:r>
            <w:r w:rsidRPr="00F01F39">
              <w:rPr>
                <w:rFonts w:cs="Arial"/>
                <w:sz w:val="16"/>
                <w:szCs w:val="16"/>
                <w:lang w:val="en-GB"/>
              </w:rPr>
              <w:t xml:space="preserve"> As of 1 January 2013 Active Regress is possible as late as end of investigation by the prosecutor in </w:t>
            </w:r>
            <w:r w:rsidRPr="00F01F39">
              <w:rPr>
                <w:rFonts w:cs="Arial"/>
                <w:sz w:val="16"/>
                <w:szCs w:val="16"/>
                <w:u w:val="single"/>
                <w:lang w:val="en-GB"/>
              </w:rPr>
              <w:t>income tax</w:t>
            </w:r>
            <w:r w:rsidRPr="00F01F39">
              <w:rPr>
                <w:rFonts w:cs="Arial"/>
                <w:sz w:val="16"/>
                <w:szCs w:val="16"/>
                <w:lang w:val="en-GB"/>
              </w:rPr>
              <w:t xml:space="preserve"> evasion cases. </w:t>
            </w:r>
            <w:r w:rsidRPr="00F01F39">
              <w:rPr>
                <w:rFonts w:cs="Arial"/>
                <w:i/>
                <w:iCs/>
                <w:sz w:val="16"/>
                <w:szCs w:val="16"/>
                <w:lang w:val="en-GB"/>
              </w:rPr>
              <w:t>Procedural law:</w:t>
            </w:r>
            <w:r w:rsidRPr="00F01F39">
              <w:rPr>
                <w:rFonts w:cs="Arial"/>
                <w:sz w:val="16"/>
                <w:szCs w:val="16"/>
                <w:lang w:val="en-GB"/>
              </w:rPr>
              <w:t xml:space="preserve"> Financial penalties are also very low, in case of a cross-border income tax evasion only 10% lump sum charge regardless the years passed is levied (e</w:t>
            </w:r>
            <w:r w:rsidR="005D242F" w:rsidRPr="00F01F39">
              <w:rPr>
                <w:rFonts w:cs="Arial"/>
                <w:sz w:val="16"/>
                <w:szCs w:val="16"/>
                <w:lang w:val="en-GB"/>
              </w:rPr>
              <w:t>.</w:t>
            </w:r>
            <w:r w:rsidRPr="00F01F39">
              <w:rPr>
                <w:rFonts w:cs="Arial"/>
                <w:sz w:val="16"/>
                <w:szCs w:val="16"/>
                <w:lang w:val="en-GB"/>
              </w:rPr>
              <w:t>g</w:t>
            </w:r>
            <w:r w:rsidR="005D242F" w:rsidRPr="00F01F39">
              <w:rPr>
                <w:rFonts w:cs="Arial"/>
                <w:sz w:val="16"/>
                <w:szCs w:val="16"/>
                <w:lang w:val="en-GB"/>
              </w:rPr>
              <w:t>.</w:t>
            </w:r>
            <w:r w:rsidRPr="00F01F39">
              <w:rPr>
                <w:rFonts w:cs="Arial"/>
                <w:sz w:val="16"/>
                <w:szCs w:val="16"/>
                <w:lang w:val="en-GB"/>
              </w:rPr>
              <w:t xml:space="preserve"> as low as 1% per annum in a 10 year case). In other words the taxpayers </w:t>
            </w:r>
            <w:r w:rsidR="00BA497A" w:rsidRPr="00F01F39">
              <w:rPr>
                <w:sz w:val="16"/>
                <w:szCs w:val="16"/>
                <w:lang w:val="en-GB"/>
              </w:rPr>
              <w:t xml:space="preserve">are rather motivated to take the risk by avoiding income tax. </w:t>
            </w:r>
            <w:r w:rsidRPr="00F01F39">
              <w:rPr>
                <w:rFonts w:cs="Arial"/>
                <w:sz w:val="16"/>
                <w:szCs w:val="16"/>
                <w:lang w:val="en-GB"/>
              </w:rPr>
              <w:t xml:space="preserve"> </w:t>
            </w:r>
            <w:bookmarkStart w:id="0" w:name="_GoBack"/>
          </w:p>
          <w:bookmarkEnd w:id="0"/>
          <w:p w:rsidR="00900B19" w:rsidRPr="00F01F39" w:rsidRDefault="00900B19" w:rsidP="00900B19">
            <w:pPr>
              <w:pStyle w:val="ListParagraph"/>
              <w:spacing w:line="240" w:lineRule="auto"/>
              <w:ind w:left="0"/>
              <w:cnfStyle w:val="000000000000" w:firstRow="0" w:lastRow="0" w:firstColumn="0" w:lastColumn="0" w:oddVBand="0" w:evenVBand="0" w:oddHBand="0" w:evenHBand="0" w:firstRowFirstColumn="0" w:firstRowLastColumn="0" w:lastRowFirstColumn="0" w:lastRowLastColumn="0"/>
              <w:rPr>
                <w:rFonts w:cs="Arial"/>
                <w:sz w:val="16"/>
                <w:szCs w:val="16"/>
                <w:lang w:val="en-GB"/>
              </w:rPr>
            </w:pPr>
            <w:r w:rsidRPr="00F01F39">
              <w:rPr>
                <w:rFonts w:cs="Arial"/>
                <w:b/>
                <w:bCs/>
                <w:sz w:val="16"/>
                <w:szCs w:val="16"/>
                <w:u w:val="single"/>
                <w:lang w:val="en-GB"/>
              </w:rPr>
              <w:t>Note:</w:t>
            </w:r>
            <w:r w:rsidRPr="00F01F39">
              <w:rPr>
                <w:rFonts w:cs="Arial"/>
                <w:sz w:val="16"/>
                <w:szCs w:val="16"/>
                <w:lang w:val="en-GB"/>
              </w:rPr>
              <w:t xml:space="preserve"> Financial sanctions are expected to be increased by 1 January 2016, no changes are expected in terms of Criminal law as of this date. We will be pleased to provide you with a more detailed written summary in case of your interest.</w:t>
            </w:r>
          </w:p>
          <w:p w:rsidR="009E71C6" w:rsidRPr="00F01F39" w:rsidRDefault="009E71C6" w:rsidP="00900B1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bl>
    <w:p w:rsidR="00FA55B1" w:rsidRPr="00F01F39" w:rsidRDefault="00FA55B1" w:rsidP="00900B19">
      <w:pPr>
        <w:rPr>
          <w:color w:val="404040" w:themeColor="text1" w:themeTint="BF"/>
          <w:sz w:val="16"/>
          <w:szCs w:val="16"/>
        </w:rPr>
      </w:pPr>
    </w:p>
    <w:sectPr w:rsidR="00FA55B1" w:rsidRPr="00F01F39"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F98" w:rsidRPr="006A1DAA" w:rsidRDefault="002A0F98">
      <w:r w:rsidRPr="006A1DAA">
        <w:separator/>
      </w:r>
    </w:p>
  </w:endnote>
  <w:endnote w:type="continuationSeparator" w:id="0">
    <w:p w:rsidR="002A0F98" w:rsidRPr="006A1DAA" w:rsidRDefault="002A0F98">
      <w:r w:rsidRPr="006A1DAA">
        <w:continuationSeparator/>
      </w:r>
    </w:p>
  </w:endnote>
  <w:endnote w:type="continuationNotice" w:id="1">
    <w:p w:rsidR="002A0F98" w:rsidRDefault="002A0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Pr="006A1DAA" w:rsidRDefault="00427661"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F01F39">
      <w:rPr>
        <w:rStyle w:val="PageNumber"/>
        <w:noProof/>
      </w:rPr>
      <w:t>9</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Default="002A0F98"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r w:rsidR="00427661" w:rsidRPr="00DB5B81">
      <w:rPr>
        <w:color w:val="FFFFFF"/>
      </w:rPr>
      <w:t>mmm</w:t>
    </w:r>
    <w:r w:rsidR="00427661">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F98" w:rsidRPr="006A1DAA" w:rsidRDefault="002A0F98">
      <w:r w:rsidRPr="006A1DAA">
        <w:separator/>
      </w:r>
    </w:p>
  </w:footnote>
  <w:footnote w:type="continuationSeparator" w:id="0">
    <w:p w:rsidR="002A0F98" w:rsidRPr="006A1DAA" w:rsidRDefault="002A0F98">
      <w:r w:rsidRPr="006A1DAA">
        <w:continuationSeparator/>
      </w:r>
    </w:p>
  </w:footnote>
  <w:footnote w:type="continuationNotice" w:id="1">
    <w:p w:rsidR="002A0F98" w:rsidRDefault="002A0F98"/>
  </w:footnote>
  <w:footnote w:id="2">
    <w:p w:rsidR="007C4B2A" w:rsidRPr="007C4B2A" w:rsidRDefault="007C4B2A">
      <w:pPr>
        <w:pStyle w:val="FootnoteText"/>
        <w:rPr>
          <w:sz w:val="16"/>
          <w:szCs w:val="16"/>
          <w:lang w:val="en-US"/>
        </w:rPr>
      </w:pPr>
      <w:r w:rsidRPr="007C4B2A">
        <w:rPr>
          <w:rStyle w:val="FootnoteReference"/>
          <w:sz w:val="16"/>
          <w:szCs w:val="16"/>
        </w:rPr>
        <w:footnoteRef/>
      </w:r>
      <w:r w:rsidRPr="007C4B2A">
        <w:rPr>
          <w:sz w:val="16"/>
          <w:szCs w:val="16"/>
        </w:rPr>
        <w:t xml:space="preserve"> </w:t>
      </w:r>
      <w:r w:rsidRPr="007C4B2A">
        <w:rPr>
          <w:sz w:val="16"/>
          <w:szCs w:val="16"/>
          <w:lang w:val="en-US"/>
        </w:rPr>
        <w:t xml:space="preserve">In the country validation process, the answer was modified by the representative of the MS.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Default="00427661" w:rsidP="00E6337A">
    <w:pPr>
      <w:pStyle w:val="Footer"/>
      <w:tabs>
        <w:tab w:val="clear" w:pos="8306"/>
        <w:tab w:val="right" w:pos="8820"/>
      </w:tabs>
      <w:ind w:right="3027"/>
      <w:jc w:val="right"/>
      <w:rPr>
        <w:rFonts w:cs="Arial"/>
        <w:b/>
        <w:i w:val="0"/>
        <w:noProof/>
        <w:color w:val="auto"/>
        <w:w w:val="80"/>
        <w:szCs w:val="16"/>
      </w:rPr>
    </w:pPr>
  </w:p>
  <w:p w:rsidR="00427661" w:rsidRDefault="00427661" w:rsidP="00E6337A">
    <w:pPr>
      <w:pStyle w:val="Footer"/>
      <w:tabs>
        <w:tab w:val="clear" w:pos="8306"/>
        <w:tab w:val="right" w:pos="8820"/>
      </w:tabs>
      <w:ind w:right="3027"/>
      <w:jc w:val="right"/>
      <w:rPr>
        <w:rFonts w:cs="Arial"/>
        <w:b/>
        <w:i w:val="0"/>
        <w:noProof/>
        <w:color w:val="auto"/>
        <w:w w:val="80"/>
        <w:szCs w:val="16"/>
      </w:rPr>
    </w:pPr>
  </w:p>
  <w:p w:rsidR="00427661" w:rsidRPr="00BD2FBC" w:rsidRDefault="002A0F98"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427661" w:rsidRPr="00B04590">
      <w:rPr>
        <w:rStyle w:val="HeaderChar"/>
      </w:rPr>
      <w:t xml:space="preserve"> </w:t>
    </w:r>
    <w:r w:rsidR="00427661">
      <w:rPr>
        <w:rStyle w:val="HeaderChar"/>
      </w:rPr>
      <w:t xml:space="preserve">Questionnaire </w:t>
    </w:r>
    <w:r w:rsidR="00645D9D">
      <w:rPr>
        <w:rStyle w:val="HeaderChar"/>
      </w:rPr>
      <w:t>–</w:t>
    </w:r>
    <w:r w:rsidR="00A06EB3">
      <w:rPr>
        <w:rStyle w:val="HeaderChar"/>
      </w:rPr>
      <w:t xml:space="preserve"> </w:t>
    </w:r>
    <w:r w:rsidR="00645D9D">
      <w:rPr>
        <w:rStyle w:val="HeaderChar"/>
      </w:rPr>
      <w:t>Slovak Republic</w:t>
    </w:r>
  </w:p>
  <w:p w:rsidR="00427661" w:rsidRDefault="00427661"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427661" w:rsidRDefault="002A0F98"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F01F39">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593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Default="002A0F98"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3">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7">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8">
    <w:nsid w:val="36EE13C9"/>
    <w:multiLevelType w:val="hybridMultilevel"/>
    <w:tmpl w:val="4E30D9AA"/>
    <w:lvl w:ilvl="0" w:tplc="F792248C">
      <w:start w:val="1"/>
      <w:numFmt w:val="bullet"/>
      <w:lvlText w:val=""/>
      <w:lvlJc w:val="left"/>
      <w:pPr>
        <w:tabs>
          <w:tab w:val="num" w:pos="720"/>
        </w:tabs>
        <w:ind w:left="720" w:hanging="360"/>
      </w:pPr>
      <w:rPr>
        <w:rFonts w:ascii="Wingdings" w:hAnsi="Wingdings" w:hint="default"/>
      </w:rPr>
    </w:lvl>
    <w:lvl w:ilvl="1" w:tplc="7C344C0A" w:tentative="1">
      <w:start w:val="1"/>
      <w:numFmt w:val="bullet"/>
      <w:lvlText w:val=""/>
      <w:lvlJc w:val="left"/>
      <w:pPr>
        <w:tabs>
          <w:tab w:val="num" w:pos="1440"/>
        </w:tabs>
        <w:ind w:left="1440" w:hanging="360"/>
      </w:pPr>
      <w:rPr>
        <w:rFonts w:ascii="Wingdings" w:hAnsi="Wingdings" w:hint="default"/>
      </w:rPr>
    </w:lvl>
    <w:lvl w:ilvl="2" w:tplc="72DA6EA2" w:tentative="1">
      <w:start w:val="1"/>
      <w:numFmt w:val="bullet"/>
      <w:lvlText w:val=""/>
      <w:lvlJc w:val="left"/>
      <w:pPr>
        <w:tabs>
          <w:tab w:val="num" w:pos="2160"/>
        </w:tabs>
        <w:ind w:left="2160" w:hanging="360"/>
      </w:pPr>
      <w:rPr>
        <w:rFonts w:ascii="Wingdings" w:hAnsi="Wingdings" w:hint="default"/>
      </w:rPr>
    </w:lvl>
    <w:lvl w:ilvl="3" w:tplc="B224C2F4" w:tentative="1">
      <w:start w:val="1"/>
      <w:numFmt w:val="bullet"/>
      <w:lvlText w:val=""/>
      <w:lvlJc w:val="left"/>
      <w:pPr>
        <w:tabs>
          <w:tab w:val="num" w:pos="2880"/>
        </w:tabs>
        <w:ind w:left="2880" w:hanging="360"/>
      </w:pPr>
      <w:rPr>
        <w:rFonts w:ascii="Wingdings" w:hAnsi="Wingdings" w:hint="default"/>
      </w:rPr>
    </w:lvl>
    <w:lvl w:ilvl="4" w:tplc="9B86CB6A" w:tentative="1">
      <w:start w:val="1"/>
      <w:numFmt w:val="bullet"/>
      <w:lvlText w:val=""/>
      <w:lvlJc w:val="left"/>
      <w:pPr>
        <w:tabs>
          <w:tab w:val="num" w:pos="3600"/>
        </w:tabs>
        <w:ind w:left="3600" w:hanging="360"/>
      </w:pPr>
      <w:rPr>
        <w:rFonts w:ascii="Wingdings" w:hAnsi="Wingdings" w:hint="default"/>
      </w:rPr>
    </w:lvl>
    <w:lvl w:ilvl="5" w:tplc="455E852E" w:tentative="1">
      <w:start w:val="1"/>
      <w:numFmt w:val="bullet"/>
      <w:lvlText w:val=""/>
      <w:lvlJc w:val="left"/>
      <w:pPr>
        <w:tabs>
          <w:tab w:val="num" w:pos="4320"/>
        </w:tabs>
        <w:ind w:left="4320" w:hanging="360"/>
      </w:pPr>
      <w:rPr>
        <w:rFonts w:ascii="Wingdings" w:hAnsi="Wingdings" w:hint="default"/>
      </w:rPr>
    </w:lvl>
    <w:lvl w:ilvl="6" w:tplc="B52E174A" w:tentative="1">
      <w:start w:val="1"/>
      <w:numFmt w:val="bullet"/>
      <w:lvlText w:val=""/>
      <w:lvlJc w:val="left"/>
      <w:pPr>
        <w:tabs>
          <w:tab w:val="num" w:pos="5040"/>
        </w:tabs>
        <w:ind w:left="5040" w:hanging="360"/>
      </w:pPr>
      <w:rPr>
        <w:rFonts w:ascii="Wingdings" w:hAnsi="Wingdings" w:hint="default"/>
      </w:rPr>
    </w:lvl>
    <w:lvl w:ilvl="7" w:tplc="F1141614" w:tentative="1">
      <w:start w:val="1"/>
      <w:numFmt w:val="bullet"/>
      <w:lvlText w:val=""/>
      <w:lvlJc w:val="left"/>
      <w:pPr>
        <w:tabs>
          <w:tab w:val="num" w:pos="5760"/>
        </w:tabs>
        <w:ind w:left="5760" w:hanging="360"/>
      </w:pPr>
      <w:rPr>
        <w:rFonts w:ascii="Wingdings" w:hAnsi="Wingdings" w:hint="default"/>
      </w:rPr>
    </w:lvl>
    <w:lvl w:ilvl="8" w:tplc="5EE84454" w:tentative="1">
      <w:start w:val="1"/>
      <w:numFmt w:val="bullet"/>
      <w:lvlText w:val=""/>
      <w:lvlJc w:val="left"/>
      <w:pPr>
        <w:tabs>
          <w:tab w:val="num" w:pos="6480"/>
        </w:tabs>
        <w:ind w:left="6480" w:hanging="360"/>
      </w:pPr>
      <w:rPr>
        <w:rFonts w:ascii="Wingdings" w:hAnsi="Wingdings" w:hint="default"/>
      </w:rPr>
    </w:lvl>
  </w:abstractNum>
  <w:abstractNum w:abstractNumId="19">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0">
    <w:nsid w:val="418A0BA5"/>
    <w:multiLevelType w:val="hybridMultilevel"/>
    <w:tmpl w:val="DD00FBC4"/>
    <w:lvl w:ilvl="0" w:tplc="2A4637A8">
      <w:start w:val="1"/>
      <w:numFmt w:val="bullet"/>
      <w:lvlText w:val=""/>
      <w:lvlJc w:val="left"/>
      <w:pPr>
        <w:tabs>
          <w:tab w:val="num" w:pos="720"/>
        </w:tabs>
        <w:ind w:left="720" w:hanging="360"/>
      </w:pPr>
      <w:rPr>
        <w:rFonts w:ascii="Wingdings" w:hAnsi="Wingdings" w:hint="default"/>
      </w:rPr>
    </w:lvl>
    <w:lvl w:ilvl="1" w:tplc="B90450CE" w:tentative="1">
      <w:start w:val="1"/>
      <w:numFmt w:val="bullet"/>
      <w:lvlText w:val=""/>
      <w:lvlJc w:val="left"/>
      <w:pPr>
        <w:tabs>
          <w:tab w:val="num" w:pos="1440"/>
        </w:tabs>
        <w:ind w:left="1440" w:hanging="360"/>
      </w:pPr>
      <w:rPr>
        <w:rFonts w:ascii="Wingdings" w:hAnsi="Wingdings" w:hint="default"/>
      </w:rPr>
    </w:lvl>
    <w:lvl w:ilvl="2" w:tplc="864A3158" w:tentative="1">
      <w:start w:val="1"/>
      <w:numFmt w:val="bullet"/>
      <w:lvlText w:val=""/>
      <w:lvlJc w:val="left"/>
      <w:pPr>
        <w:tabs>
          <w:tab w:val="num" w:pos="2160"/>
        </w:tabs>
        <w:ind w:left="2160" w:hanging="360"/>
      </w:pPr>
      <w:rPr>
        <w:rFonts w:ascii="Wingdings" w:hAnsi="Wingdings" w:hint="default"/>
      </w:rPr>
    </w:lvl>
    <w:lvl w:ilvl="3" w:tplc="50C89C46" w:tentative="1">
      <w:start w:val="1"/>
      <w:numFmt w:val="bullet"/>
      <w:lvlText w:val=""/>
      <w:lvlJc w:val="left"/>
      <w:pPr>
        <w:tabs>
          <w:tab w:val="num" w:pos="2880"/>
        </w:tabs>
        <w:ind w:left="2880" w:hanging="360"/>
      </w:pPr>
      <w:rPr>
        <w:rFonts w:ascii="Wingdings" w:hAnsi="Wingdings" w:hint="default"/>
      </w:rPr>
    </w:lvl>
    <w:lvl w:ilvl="4" w:tplc="A66881CA" w:tentative="1">
      <w:start w:val="1"/>
      <w:numFmt w:val="bullet"/>
      <w:lvlText w:val=""/>
      <w:lvlJc w:val="left"/>
      <w:pPr>
        <w:tabs>
          <w:tab w:val="num" w:pos="3600"/>
        </w:tabs>
        <w:ind w:left="3600" w:hanging="360"/>
      </w:pPr>
      <w:rPr>
        <w:rFonts w:ascii="Wingdings" w:hAnsi="Wingdings" w:hint="default"/>
      </w:rPr>
    </w:lvl>
    <w:lvl w:ilvl="5" w:tplc="B24EE52A" w:tentative="1">
      <w:start w:val="1"/>
      <w:numFmt w:val="bullet"/>
      <w:lvlText w:val=""/>
      <w:lvlJc w:val="left"/>
      <w:pPr>
        <w:tabs>
          <w:tab w:val="num" w:pos="4320"/>
        </w:tabs>
        <w:ind w:left="4320" w:hanging="360"/>
      </w:pPr>
      <w:rPr>
        <w:rFonts w:ascii="Wingdings" w:hAnsi="Wingdings" w:hint="default"/>
      </w:rPr>
    </w:lvl>
    <w:lvl w:ilvl="6" w:tplc="3D7E927A" w:tentative="1">
      <w:start w:val="1"/>
      <w:numFmt w:val="bullet"/>
      <w:lvlText w:val=""/>
      <w:lvlJc w:val="left"/>
      <w:pPr>
        <w:tabs>
          <w:tab w:val="num" w:pos="5040"/>
        </w:tabs>
        <w:ind w:left="5040" w:hanging="360"/>
      </w:pPr>
      <w:rPr>
        <w:rFonts w:ascii="Wingdings" w:hAnsi="Wingdings" w:hint="default"/>
      </w:rPr>
    </w:lvl>
    <w:lvl w:ilvl="7" w:tplc="E0C2107E" w:tentative="1">
      <w:start w:val="1"/>
      <w:numFmt w:val="bullet"/>
      <w:lvlText w:val=""/>
      <w:lvlJc w:val="left"/>
      <w:pPr>
        <w:tabs>
          <w:tab w:val="num" w:pos="5760"/>
        </w:tabs>
        <w:ind w:left="5760" w:hanging="360"/>
      </w:pPr>
      <w:rPr>
        <w:rFonts w:ascii="Wingdings" w:hAnsi="Wingdings" w:hint="default"/>
      </w:rPr>
    </w:lvl>
    <w:lvl w:ilvl="8" w:tplc="26E0A74A" w:tentative="1">
      <w:start w:val="1"/>
      <w:numFmt w:val="bullet"/>
      <w:lvlText w:val=""/>
      <w:lvlJc w:val="left"/>
      <w:pPr>
        <w:tabs>
          <w:tab w:val="num" w:pos="6480"/>
        </w:tabs>
        <w:ind w:left="6480" w:hanging="360"/>
      </w:pPr>
      <w:rPr>
        <w:rFonts w:ascii="Wingdings" w:hAnsi="Wingdings" w:hint="default"/>
      </w:rPr>
    </w:lvl>
  </w:abstractNum>
  <w:abstractNum w:abstractNumId="21">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3">
    <w:nsid w:val="53A24321"/>
    <w:multiLevelType w:val="hybridMultilevel"/>
    <w:tmpl w:val="5948950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5">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7">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9">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21"/>
  </w:num>
  <w:num w:numId="9">
    <w:abstractNumId w:val="22"/>
  </w:num>
  <w:num w:numId="10">
    <w:abstractNumId w:val="13"/>
  </w:num>
  <w:num w:numId="11">
    <w:abstractNumId w:val="7"/>
  </w:num>
  <w:num w:numId="12">
    <w:abstractNumId w:val="31"/>
  </w:num>
  <w:num w:numId="13">
    <w:abstractNumId w:val="6"/>
  </w:num>
  <w:num w:numId="14">
    <w:abstractNumId w:val="17"/>
  </w:num>
  <w:num w:numId="15">
    <w:abstractNumId w:val="27"/>
  </w:num>
  <w:num w:numId="16">
    <w:abstractNumId w:val="26"/>
  </w:num>
  <w:num w:numId="17">
    <w:abstractNumId w:val="19"/>
  </w:num>
  <w:num w:numId="18">
    <w:abstractNumId w:val="16"/>
  </w:num>
  <w:num w:numId="19">
    <w:abstractNumId w:val="4"/>
  </w:num>
  <w:num w:numId="20">
    <w:abstractNumId w:val="29"/>
  </w:num>
  <w:num w:numId="21">
    <w:abstractNumId w:val="8"/>
  </w:num>
  <w:num w:numId="22">
    <w:abstractNumId w:val="10"/>
  </w:num>
  <w:num w:numId="23">
    <w:abstractNumId w:val="24"/>
  </w:num>
  <w:num w:numId="24">
    <w:abstractNumId w:val="15"/>
  </w:num>
  <w:num w:numId="25">
    <w:abstractNumId w:val="28"/>
  </w:num>
  <w:num w:numId="26">
    <w:abstractNumId w:val="14"/>
  </w:num>
  <w:num w:numId="27">
    <w:abstractNumId w:val="12"/>
  </w:num>
  <w:num w:numId="28">
    <w:abstractNumId w:val="30"/>
  </w:num>
  <w:num w:numId="29">
    <w:abstractNumId w:val="25"/>
  </w:num>
  <w:num w:numId="30">
    <w:abstractNumId w:val="4"/>
  </w:num>
  <w:num w:numId="31">
    <w:abstractNumId w:val="18"/>
  </w:num>
  <w:num w:numId="32">
    <w:abstractNumId w:val="20"/>
  </w:num>
  <w:num w:numId="33">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17BD"/>
    <w:rsid w:val="0001240E"/>
    <w:rsid w:val="00012675"/>
    <w:rsid w:val="00012FB7"/>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378"/>
    <w:rsid w:val="00041DD4"/>
    <w:rsid w:val="00042A2B"/>
    <w:rsid w:val="00043C51"/>
    <w:rsid w:val="000445CA"/>
    <w:rsid w:val="00045D7B"/>
    <w:rsid w:val="00046B17"/>
    <w:rsid w:val="00050838"/>
    <w:rsid w:val="000515AD"/>
    <w:rsid w:val="00052B6B"/>
    <w:rsid w:val="00053613"/>
    <w:rsid w:val="000538D9"/>
    <w:rsid w:val="00053CD2"/>
    <w:rsid w:val="00054380"/>
    <w:rsid w:val="00055A86"/>
    <w:rsid w:val="00056120"/>
    <w:rsid w:val="00056340"/>
    <w:rsid w:val="00056AC6"/>
    <w:rsid w:val="0005783E"/>
    <w:rsid w:val="00057BA8"/>
    <w:rsid w:val="00060004"/>
    <w:rsid w:val="00060ED6"/>
    <w:rsid w:val="00061164"/>
    <w:rsid w:val="000616B8"/>
    <w:rsid w:val="00062FBE"/>
    <w:rsid w:val="000632ED"/>
    <w:rsid w:val="000635C9"/>
    <w:rsid w:val="000638D2"/>
    <w:rsid w:val="00063F99"/>
    <w:rsid w:val="00064824"/>
    <w:rsid w:val="0006560C"/>
    <w:rsid w:val="0006588C"/>
    <w:rsid w:val="00065B88"/>
    <w:rsid w:val="00066E95"/>
    <w:rsid w:val="000673AF"/>
    <w:rsid w:val="0006761C"/>
    <w:rsid w:val="000679B5"/>
    <w:rsid w:val="000703BE"/>
    <w:rsid w:val="00071214"/>
    <w:rsid w:val="0007167C"/>
    <w:rsid w:val="00071C09"/>
    <w:rsid w:val="0007390C"/>
    <w:rsid w:val="00074C5F"/>
    <w:rsid w:val="00076CCE"/>
    <w:rsid w:val="00076EB2"/>
    <w:rsid w:val="00077239"/>
    <w:rsid w:val="00080B11"/>
    <w:rsid w:val="00081939"/>
    <w:rsid w:val="00081B17"/>
    <w:rsid w:val="00081E2B"/>
    <w:rsid w:val="00083322"/>
    <w:rsid w:val="00083D17"/>
    <w:rsid w:val="0008463C"/>
    <w:rsid w:val="00084C7A"/>
    <w:rsid w:val="00084DEF"/>
    <w:rsid w:val="0008560D"/>
    <w:rsid w:val="00087753"/>
    <w:rsid w:val="00091909"/>
    <w:rsid w:val="00091E98"/>
    <w:rsid w:val="0009419B"/>
    <w:rsid w:val="0009490F"/>
    <w:rsid w:val="00094AB3"/>
    <w:rsid w:val="00095C34"/>
    <w:rsid w:val="00096A5C"/>
    <w:rsid w:val="000A007A"/>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5E5D"/>
    <w:rsid w:val="000D6374"/>
    <w:rsid w:val="000D6681"/>
    <w:rsid w:val="000E1423"/>
    <w:rsid w:val="000E245F"/>
    <w:rsid w:val="000E249B"/>
    <w:rsid w:val="000E31AA"/>
    <w:rsid w:val="000E3D43"/>
    <w:rsid w:val="000E500B"/>
    <w:rsid w:val="000E530C"/>
    <w:rsid w:val="000E5EFD"/>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62C"/>
    <w:rsid w:val="00104B52"/>
    <w:rsid w:val="00105BA9"/>
    <w:rsid w:val="001077CC"/>
    <w:rsid w:val="00107A66"/>
    <w:rsid w:val="00110F8E"/>
    <w:rsid w:val="00111F04"/>
    <w:rsid w:val="00111FC4"/>
    <w:rsid w:val="00112D0D"/>
    <w:rsid w:val="0011457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22C9"/>
    <w:rsid w:val="001332B5"/>
    <w:rsid w:val="00134DE4"/>
    <w:rsid w:val="00135C38"/>
    <w:rsid w:val="0013613F"/>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5C1"/>
    <w:rsid w:val="001D4727"/>
    <w:rsid w:val="001D487F"/>
    <w:rsid w:val="001D54BF"/>
    <w:rsid w:val="001D5B1E"/>
    <w:rsid w:val="001D6F53"/>
    <w:rsid w:val="001D731D"/>
    <w:rsid w:val="001D7325"/>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07CB8"/>
    <w:rsid w:val="00210591"/>
    <w:rsid w:val="002106F0"/>
    <w:rsid w:val="00210797"/>
    <w:rsid w:val="00210D2F"/>
    <w:rsid w:val="002111CB"/>
    <w:rsid w:val="00211831"/>
    <w:rsid w:val="00212343"/>
    <w:rsid w:val="00212607"/>
    <w:rsid w:val="002128B5"/>
    <w:rsid w:val="00212BA2"/>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66657"/>
    <w:rsid w:val="00267B9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871"/>
    <w:rsid w:val="00293F87"/>
    <w:rsid w:val="00294FCD"/>
    <w:rsid w:val="002954D2"/>
    <w:rsid w:val="00297A60"/>
    <w:rsid w:val="00297C8A"/>
    <w:rsid w:val="002A0838"/>
    <w:rsid w:val="002A0F9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6BC"/>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2A6"/>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7643F"/>
    <w:rsid w:val="00381928"/>
    <w:rsid w:val="00381F50"/>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258"/>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ACC"/>
    <w:rsid w:val="00424321"/>
    <w:rsid w:val="00425D24"/>
    <w:rsid w:val="0042620B"/>
    <w:rsid w:val="004268B1"/>
    <w:rsid w:val="00427661"/>
    <w:rsid w:val="00427F0B"/>
    <w:rsid w:val="00430455"/>
    <w:rsid w:val="00430D94"/>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21AA"/>
    <w:rsid w:val="004537E0"/>
    <w:rsid w:val="00453AE2"/>
    <w:rsid w:val="00455A2B"/>
    <w:rsid w:val="0045606F"/>
    <w:rsid w:val="00457C07"/>
    <w:rsid w:val="00457C0C"/>
    <w:rsid w:val="00460C3C"/>
    <w:rsid w:val="00461B58"/>
    <w:rsid w:val="0046408E"/>
    <w:rsid w:val="004649BE"/>
    <w:rsid w:val="00464B8F"/>
    <w:rsid w:val="00464FC6"/>
    <w:rsid w:val="00465E96"/>
    <w:rsid w:val="00466212"/>
    <w:rsid w:val="004711A5"/>
    <w:rsid w:val="00471CEB"/>
    <w:rsid w:val="00472263"/>
    <w:rsid w:val="004737F0"/>
    <w:rsid w:val="00473E06"/>
    <w:rsid w:val="00475724"/>
    <w:rsid w:val="00475ECD"/>
    <w:rsid w:val="0047702C"/>
    <w:rsid w:val="00477A2C"/>
    <w:rsid w:val="00480D11"/>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2C29"/>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6F04"/>
    <w:rsid w:val="004D7287"/>
    <w:rsid w:val="004D74FA"/>
    <w:rsid w:val="004E06FE"/>
    <w:rsid w:val="004E2B0D"/>
    <w:rsid w:val="004E32FE"/>
    <w:rsid w:val="004E3645"/>
    <w:rsid w:val="004E3D7D"/>
    <w:rsid w:val="004E4477"/>
    <w:rsid w:val="004E474C"/>
    <w:rsid w:val="004E625B"/>
    <w:rsid w:val="004F0446"/>
    <w:rsid w:val="004F180F"/>
    <w:rsid w:val="004F1823"/>
    <w:rsid w:val="004F1F87"/>
    <w:rsid w:val="004F4ABD"/>
    <w:rsid w:val="004F6416"/>
    <w:rsid w:val="004F6DFB"/>
    <w:rsid w:val="00501532"/>
    <w:rsid w:val="0050164C"/>
    <w:rsid w:val="005019CB"/>
    <w:rsid w:val="00503E0A"/>
    <w:rsid w:val="0050441E"/>
    <w:rsid w:val="005126FD"/>
    <w:rsid w:val="00513CA2"/>
    <w:rsid w:val="00514728"/>
    <w:rsid w:val="0051499A"/>
    <w:rsid w:val="00514B44"/>
    <w:rsid w:val="00514FBA"/>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36D8"/>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5F07"/>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B5F"/>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1B2"/>
    <w:rsid w:val="005842B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A7FE3"/>
    <w:rsid w:val="005B01C8"/>
    <w:rsid w:val="005B103F"/>
    <w:rsid w:val="005B11FE"/>
    <w:rsid w:val="005B2582"/>
    <w:rsid w:val="005B3B7C"/>
    <w:rsid w:val="005B504C"/>
    <w:rsid w:val="005B5195"/>
    <w:rsid w:val="005B524F"/>
    <w:rsid w:val="005B691A"/>
    <w:rsid w:val="005B6C2B"/>
    <w:rsid w:val="005B7185"/>
    <w:rsid w:val="005B7B6E"/>
    <w:rsid w:val="005C1260"/>
    <w:rsid w:val="005C7110"/>
    <w:rsid w:val="005C77A1"/>
    <w:rsid w:val="005D0B90"/>
    <w:rsid w:val="005D154D"/>
    <w:rsid w:val="005D242F"/>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20497"/>
    <w:rsid w:val="006204CE"/>
    <w:rsid w:val="00620F19"/>
    <w:rsid w:val="006235E2"/>
    <w:rsid w:val="00625682"/>
    <w:rsid w:val="0062623E"/>
    <w:rsid w:val="00627594"/>
    <w:rsid w:val="006309F6"/>
    <w:rsid w:val="00630C9F"/>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5D9D"/>
    <w:rsid w:val="00647C1B"/>
    <w:rsid w:val="006516F3"/>
    <w:rsid w:val="00651C87"/>
    <w:rsid w:val="00651CC6"/>
    <w:rsid w:val="00653B41"/>
    <w:rsid w:val="00653E20"/>
    <w:rsid w:val="00654B48"/>
    <w:rsid w:val="0065534D"/>
    <w:rsid w:val="0065560A"/>
    <w:rsid w:val="00655DCE"/>
    <w:rsid w:val="00656089"/>
    <w:rsid w:val="00657243"/>
    <w:rsid w:val="00657639"/>
    <w:rsid w:val="0065767F"/>
    <w:rsid w:val="00657D7E"/>
    <w:rsid w:val="0066071D"/>
    <w:rsid w:val="0066395D"/>
    <w:rsid w:val="00664E79"/>
    <w:rsid w:val="00665576"/>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B10"/>
    <w:rsid w:val="006D0FB3"/>
    <w:rsid w:val="006D19A5"/>
    <w:rsid w:val="006D49B3"/>
    <w:rsid w:val="006D4D88"/>
    <w:rsid w:val="006D580D"/>
    <w:rsid w:val="006D6B4E"/>
    <w:rsid w:val="006D6E66"/>
    <w:rsid w:val="006D6F52"/>
    <w:rsid w:val="006D70CD"/>
    <w:rsid w:val="006D7D63"/>
    <w:rsid w:val="006E00AC"/>
    <w:rsid w:val="006E13E6"/>
    <w:rsid w:val="006E1DA2"/>
    <w:rsid w:val="006E1E0C"/>
    <w:rsid w:val="006E2964"/>
    <w:rsid w:val="006E3311"/>
    <w:rsid w:val="006E36CF"/>
    <w:rsid w:val="006E6E08"/>
    <w:rsid w:val="006F18B3"/>
    <w:rsid w:val="006F325C"/>
    <w:rsid w:val="006F408D"/>
    <w:rsid w:val="006F4FE8"/>
    <w:rsid w:val="006F537A"/>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18F"/>
    <w:rsid w:val="00761CFF"/>
    <w:rsid w:val="00762821"/>
    <w:rsid w:val="00763962"/>
    <w:rsid w:val="00763AC8"/>
    <w:rsid w:val="007653FB"/>
    <w:rsid w:val="007654DE"/>
    <w:rsid w:val="00765AD1"/>
    <w:rsid w:val="007661EC"/>
    <w:rsid w:val="00766AB2"/>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3C03"/>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3898"/>
    <w:rsid w:val="007C3907"/>
    <w:rsid w:val="007C4332"/>
    <w:rsid w:val="007C4B2A"/>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14"/>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40A9"/>
    <w:rsid w:val="00885000"/>
    <w:rsid w:val="008856CF"/>
    <w:rsid w:val="0088684B"/>
    <w:rsid w:val="00887B5C"/>
    <w:rsid w:val="0089025D"/>
    <w:rsid w:val="008902BD"/>
    <w:rsid w:val="0089076B"/>
    <w:rsid w:val="00890D27"/>
    <w:rsid w:val="00891D8A"/>
    <w:rsid w:val="00891F6C"/>
    <w:rsid w:val="008936C7"/>
    <w:rsid w:val="00894BEC"/>
    <w:rsid w:val="00895C86"/>
    <w:rsid w:val="0089606D"/>
    <w:rsid w:val="00896BF6"/>
    <w:rsid w:val="00897F3C"/>
    <w:rsid w:val="008A20D2"/>
    <w:rsid w:val="008A4441"/>
    <w:rsid w:val="008A46D6"/>
    <w:rsid w:val="008A4E83"/>
    <w:rsid w:val="008A5DA5"/>
    <w:rsid w:val="008A717D"/>
    <w:rsid w:val="008A7B34"/>
    <w:rsid w:val="008B05E7"/>
    <w:rsid w:val="008B2B74"/>
    <w:rsid w:val="008B5EB1"/>
    <w:rsid w:val="008B6E3D"/>
    <w:rsid w:val="008B7493"/>
    <w:rsid w:val="008C01C1"/>
    <w:rsid w:val="008C03E0"/>
    <w:rsid w:val="008C105F"/>
    <w:rsid w:val="008C15A0"/>
    <w:rsid w:val="008C205D"/>
    <w:rsid w:val="008C2A2A"/>
    <w:rsid w:val="008C3F88"/>
    <w:rsid w:val="008C48A4"/>
    <w:rsid w:val="008C4D00"/>
    <w:rsid w:val="008C5BF9"/>
    <w:rsid w:val="008C63EA"/>
    <w:rsid w:val="008C717A"/>
    <w:rsid w:val="008C71B9"/>
    <w:rsid w:val="008D0555"/>
    <w:rsid w:val="008D17DE"/>
    <w:rsid w:val="008D1806"/>
    <w:rsid w:val="008D1835"/>
    <w:rsid w:val="008D2230"/>
    <w:rsid w:val="008D239B"/>
    <w:rsid w:val="008D2DEC"/>
    <w:rsid w:val="008D4D8D"/>
    <w:rsid w:val="008D50C5"/>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0B19"/>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6B9B"/>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34E"/>
    <w:rsid w:val="00962AD7"/>
    <w:rsid w:val="0096398F"/>
    <w:rsid w:val="00965AD5"/>
    <w:rsid w:val="00966089"/>
    <w:rsid w:val="009662D1"/>
    <w:rsid w:val="0096654D"/>
    <w:rsid w:val="00967E9A"/>
    <w:rsid w:val="00967FDC"/>
    <w:rsid w:val="00970638"/>
    <w:rsid w:val="009732CA"/>
    <w:rsid w:val="0097352D"/>
    <w:rsid w:val="0097415A"/>
    <w:rsid w:val="0097415B"/>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2C22"/>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C606B"/>
    <w:rsid w:val="009D0026"/>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E75EB"/>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1FD4"/>
    <w:rsid w:val="00A4200C"/>
    <w:rsid w:val="00A42AF3"/>
    <w:rsid w:val="00A454D6"/>
    <w:rsid w:val="00A46715"/>
    <w:rsid w:val="00A47A44"/>
    <w:rsid w:val="00A53616"/>
    <w:rsid w:val="00A53C29"/>
    <w:rsid w:val="00A540FB"/>
    <w:rsid w:val="00A54D1A"/>
    <w:rsid w:val="00A551EC"/>
    <w:rsid w:val="00A55C6C"/>
    <w:rsid w:val="00A55E7C"/>
    <w:rsid w:val="00A56B01"/>
    <w:rsid w:val="00A56E85"/>
    <w:rsid w:val="00A579C8"/>
    <w:rsid w:val="00A57AEC"/>
    <w:rsid w:val="00A617F9"/>
    <w:rsid w:val="00A62D45"/>
    <w:rsid w:val="00A63017"/>
    <w:rsid w:val="00A63DD8"/>
    <w:rsid w:val="00A63FEC"/>
    <w:rsid w:val="00A6494F"/>
    <w:rsid w:val="00A64F06"/>
    <w:rsid w:val="00A65583"/>
    <w:rsid w:val="00A65605"/>
    <w:rsid w:val="00A66798"/>
    <w:rsid w:val="00A6751E"/>
    <w:rsid w:val="00A67E77"/>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5F6"/>
    <w:rsid w:val="00AA3618"/>
    <w:rsid w:val="00AA41D1"/>
    <w:rsid w:val="00AA4925"/>
    <w:rsid w:val="00AA4E0F"/>
    <w:rsid w:val="00AA7876"/>
    <w:rsid w:val="00AB4951"/>
    <w:rsid w:val="00AB5252"/>
    <w:rsid w:val="00AB5617"/>
    <w:rsid w:val="00AB5ED0"/>
    <w:rsid w:val="00AB7251"/>
    <w:rsid w:val="00AB7EF0"/>
    <w:rsid w:val="00AC015A"/>
    <w:rsid w:val="00AC157E"/>
    <w:rsid w:val="00AC1A34"/>
    <w:rsid w:val="00AC1FB6"/>
    <w:rsid w:val="00AC2BBC"/>
    <w:rsid w:val="00AC2D5D"/>
    <w:rsid w:val="00AC31AD"/>
    <w:rsid w:val="00AC48EF"/>
    <w:rsid w:val="00AC50F7"/>
    <w:rsid w:val="00AC5C6C"/>
    <w:rsid w:val="00AC5CB9"/>
    <w:rsid w:val="00AC5CE6"/>
    <w:rsid w:val="00AC7AA6"/>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1651"/>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37A74"/>
    <w:rsid w:val="00B407E8"/>
    <w:rsid w:val="00B41BBD"/>
    <w:rsid w:val="00B4201B"/>
    <w:rsid w:val="00B42987"/>
    <w:rsid w:val="00B44A91"/>
    <w:rsid w:val="00B45408"/>
    <w:rsid w:val="00B46F2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467D"/>
    <w:rsid w:val="00B75363"/>
    <w:rsid w:val="00B755C1"/>
    <w:rsid w:val="00B77AE6"/>
    <w:rsid w:val="00B77B1C"/>
    <w:rsid w:val="00B80992"/>
    <w:rsid w:val="00B81382"/>
    <w:rsid w:val="00B83169"/>
    <w:rsid w:val="00B85751"/>
    <w:rsid w:val="00B85909"/>
    <w:rsid w:val="00B85BF2"/>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6B80"/>
    <w:rsid w:val="00B97779"/>
    <w:rsid w:val="00B97B69"/>
    <w:rsid w:val="00BA1544"/>
    <w:rsid w:val="00BA1985"/>
    <w:rsid w:val="00BA25D0"/>
    <w:rsid w:val="00BA2E2A"/>
    <w:rsid w:val="00BA3782"/>
    <w:rsid w:val="00BA3CDE"/>
    <w:rsid w:val="00BA3DBA"/>
    <w:rsid w:val="00BA497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2A3"/>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872"/>
    <w:rsid w:val="00BD5F23"/>
    <w:rsid w:val="00BD7FBB"/>
    <w:rsid w:val="00BE042C"/>
    <w:rsid w:val="00BE061F"/>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C2A"/>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3FD"/>
    <w:rsid w:val="00CA246B"/>
    <w:rsid w:val="00CA260F"/>
    <w:rsid w:val="00CA34C1"/>
    <w:rsid w:val="00CA5EF2"/>
    <w:rsid w:val="00CA5F13"/>
    <w:rsid w:val="00CB0D08"/>
    <w:rsid w:val="00CB1833"/>
    <w:rsid w:val="00CB1883"/>
    <w:rsid w:val="00CB2619"/>
    <w:rsid w:val="00CB51B9"/>
    <w:rsid w:val="00CB5D03"/>
    <w:rsid w:val="00CB6589"/>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2F2"/>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361"/>
    <w:rsid w:val="00D56844"/>
    <w:rsid w:val="00D56B02"/>
    <w:rsid w:val="00D56B15"/>
    <w:rsid w:val="00D57802"/>
    <w:rsid w:val="00D6088A"/>
    <w:rsid w:val="00D6089C"/>
    <w:rsid w:val="00D60A3F"/>
    <w:rsid w:val="00D62383"/>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5AB"/>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B70"/>
    <w:rsid w:val="00DD4FBD"/>
    <w:rsid w:val="00DD6046"/>
    <w:rsid w:val="00DE018D"/>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77DA9"/>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320"/>
    <w:rsid w:val="00EA36EE"/>
    <w:rsid w:val="00EA435C"/>
    <w:rsid w:val="00EA61F6"/>
    <w:rsid w:val="00EB286A"/>
    <w:rsid w:val="00EB2B8F"/>
    <w:rsid w:val="00EB3B08"/>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643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CD0"/>
    <w:rsid w:val="00F01F39"/>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08EB"/>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06AA"/>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9709E"/>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D51F6"/>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308889">
      <w:bodyDiv w:val="1"/>
      <w:marLeft w:val="0"/>
      <w:marRight w:val="0"/>
      <w:marTop w:val="0"/>
      <w:marBottom w:val="0"/>
      <w:divBdr>
        <w:top w:val="none" w:sz="0" w:space="0" w:color="auto"/>
        <w:left w:val="none" w:sz="0" w:space="0" w:color="auto"/>
        <w:bottom w:val="none" w:sz="0" w:space="0" w:color="auto"/>
        <w:right w:val="none" w:sz="0" w:space="0" w:color="auto"/>
      </w:divBdr>
      <w:divsChild>
        <w:div w:id="1718772193">
          <w:marLeft w:val="994"/>
          <w:marRight w:val="0"/>
          <w:marTop w:val="115"/>
          <w:marBottom w:val="0"/>
          <w:divBdr>
            <w:top w:val="none" w:sz="0" w:space="0" w:color="auto"/>
            <w:left w:val="none" w:sz="0" w:space="0" w:color="auto"/>
            <w:bottom w:val="none" w:sz="0" w:space="0" w:color="auto"/>
            <w:right w:val="none" w:sz="0" w:space="0" w:color="auto"/>
          </w:divBdr>
        </w:div>
        <w:div w:id="1318261952">
          <w:marLeft w:val="994"/>
          <w:marRight w:val="0"/>
          <w:marTop w:val="115"/>
          <w:marBottom w:val="0"/>
          <w:divBdr>
            <w:top w:val="none" w:sz="0" w:space="0" w:color="auto"/>
            <w:left w:val="none" w:sz="0" w:space="0" w:color="auto"/>
            <w:bottom w:val="none" w:sz="0" w:space="0" w:color="auto"/>
            <w:right w:val="none" w:sz="0" w:space="0" w:color="auto"/>
          </w:divBdr>
        </w:div>
      </w:divsChild>
    </w:div>
    <w:div w:id="721101607">
      <w:bodyDiv w:val="1"/>
      <w:marLeft w:val="0"/>
      <w:marRight w:val="0"/>
      <w:marTop w:val="0"/>
      <w:marBottom w:val="0"/>
      <w:divBdr>
        <w:top w:val="none" w:sz="0" w:space="0" w:color="auto"/>
        <w:left w:val="none" w:sz="0" w:space="0" w:color="auto"/>
        <w:bottom w:val="none" w:sz="0" w:space="0" w:color="auto"/>
        <w:right w:val="none" w:sz="0" w:space="0" w:color="auto"/>
      </w:divBdr>
      <w:divsChild>
        <w:div w:id="231042822">
          <w:marLeft w:val="0"/>
          <w:marRight w:val="0"/>
          <w:marTop w:val="0"/>
          <w:marBottom w:val="0"/>
          <w:divBdr>
            <w:top w:val="none" w:sz="0" w:space="0" w:color="auto"/>
            <w:left w:val="none" w:sz="0" w:space="0" w:color="auto"/>
            <w:bottom w:val="none" w:sz="0" w:space="0" w:color="auto"/>
            <w:right w:val="none" w:sz="0" w:space="0" w:color="auto"/>
          </w:divBdr>
        </w:div>
        <w:div w:id="1655455487">
          <w:marLeft w:val="0"/>
          <w:marRight w:val="0"/>
          <w:marTop w:val="0"/>
          <w:marBottom w:val="0"/>
          <w:divBdr>
            <w:top w:val="none" w:sz="0" w:space="0" w:color="auto"/>
            <w:left w:val="none" w:sz="0" w:space="0" w:color="auto"/>
            <w:bottom w:val="none" w:sz="0" w:space="0" w:color="auto"/>
            <w:right w:val="none" w:sz="0" w:space="0" w:color="auto"/>
          </w:divBdr>
        </w:div>
        <w:div w:id="1759473820">
          <w:marLeft w:val="0"/>
          <w:marRight w:val="0"/>
          <w:marTop w:val="0"/>
          <w:marBottom w:val="0"/>
          <w:divBdr>
            <w:top w:val="none" w:sz="0" w:space="0" w:color="auto"/>
            <w:left w:val="none" w:sz="0" w:space="0" w:color="auto"/>
            <w:bottom w:val="none" w:sz="0" w:space="0" w:color="auto"/>
            <w:right w:val="none" w:sz="0" w:space="0" w:color="auto"/>
          </w:divBdr>
        </w:div>
        <w:div w:id="752969247">
          <w:marLeft w:val="0"/>
          <w:marRight w:val="0"/>
          <w:marTop w:val="0"/>
          <w:marBottom w:val="0"/>
          <w:divBdr>
            <w:top w:val="none" w:sz="0" w:space="0" w:color="auto"/>
            <w:left w:val="none" w:sz="0" w:space="0" w:color="auto"/>
            <w:bottom w:val="none" w:sz="0" w:space="0" w:color="auto"/>
            <w:right w:val="none" w:sz="0" w:space="0" w:color="auto"/>
          </w:divBdr>
        </w:div>
        <w:div w:id="1341850842">
          <w:marLeft w:val="0"/>
          <w:marRight w:val="0"/>
          <w:marTop w:val="0"/>
          <w:marBottom w:val="0"/>
          <w:divBdr>
            <w:top w:val="none" w:sz="0" w:space="0" w:color="auto"/>
            <w:left w:val="none" w:sz="0" w:space="0" w:color="auto"/>
            <w:bottom w:val="none" w:sz="0" w:space="0" w:color="auto"/>
            <w:right w:val="none" w:sz="0" w:space="0" w:color="auto"/>
          </w:divBdr>
        </w:div>
        <w:div w:id="710375905">
          <w:marLeft w:val="0"/>
          <w:marRight w:val="0"/>
          <w:marTop w:val="0"/>
          <w:marBottom w:val="0"/>
          <w:divBdr>
            <w:top w:val="none" w:sz="0" w:space="0" w:color="auto"/>
            <w:left w:val="none" w:sz="0" w:space="0" w:color="auto"/>
            <w:bottom w:val="none" w:sz="0" w:space="0" w:color="auto"/>
            <w:right w:val="none" w:sz="0" w:space="0" w:color="auto"/>
          </w:divBdr>
        </w:div>
        <w:div w:id="1768040541">
          <w:marLeft w:val="0"/>
          <w:marRight w:val="0"/>
          <w:marTop w:val="0"/>
          <w:marBottom w:val="0"/>
          <w:divBdr>
            <w:top w:val="none" w:sz="0" w:space="0" w:color="auto"/>
            <w:left w:val="none" w:sz="0" w:space="0" w:color="auto"/>
            <w:bottom w:val="none" w:sz="0" w:space="0" w:color="auto"/>
            <w:right w:val="none" w:sz="0" w:space="0" w:color="auto"/>
          </w:divBdr>
        </w:div>
        <w:div w:id="397486144">
          <w:marLeft w:val="0"/>
          <w:marRight w:val="0"/>
          <w:marTop w:val="0"/>
          <w:marBottom w:val="0"/>
          <w:divBdr>
            <w:top w:val="none" w:sz="0" w:space="0" w:color="auto"/>
            <w:left w:val="none" w:sz="0" w:space="0" w:color="auto"/>
            <w:bottom w:val="none" w:sz="0" w:space="0" w:color="auto"/>
            <w:right w:val="none" w:sz="0" w:space="0" w:color="auto"/>
          </w:divBdr>
        </w:div>
      </w:divsChild>
    </w:div>
    <w:div w:id="870150398">
      <w:bodyDiv w:val="1"/>
      <w:marLeft w:val="0"/>
      <w:marRight w:val="0"/>
      <w:marTop w:val="0"/>
      <w:marBottom w:val="0"/>
      <w:divBdr>
        <w:top w:val="none" w:sz="0" w:space="0" w:color="auto"/>
        <w:left w:val="none" w:sz="0" w:space="0" w:color="auto"/>
        <w:bottom w:val="none" w:sz="0" w:space="0" w:color="auto"/>
        <w:right w:val="none" w:sz="0" w:space="0" w:color="auto"/>
      </w:divBdr>
      <w:divsChild>
        <w:div w:id="1284380238">
          <w:marLeft w:val="0"/>
          <w:marRight w:val="0"/>
          <w:marTop w:val="0"/>
          <w:marBottom w:val="0"/>
          <w:divBdr>
            <w:top w:val="none" w:sz="0" w:space="0" w:color="auto"/>
            <w:left w:val="none" w:sz="0" w:space="0" w:color="auto"/>
            <w:bottom w:val="none" w:sz="0" w:space="0" w:color="auto"/>
            <w:right w:val="none" w:sz="0" w:space="0" w:color="auto"/>
          </w:divBdr>
          <w:divsChild>
            <w:div w:id="1690377520">
              <w:marLeft w:val="0"/>
              <w:marRight w:val="0"/>
              <w:marTop w:val="0"/>
              <w:marBottom w:val="0"/>
              <w:divBdr>
                <w:top w:val="none" w:sz="0" w:space="0" w:color="auto"/>
                <w:left w:val="none" w:sz="0" w:space="0" w:color="auto"/>
                <w:bottom w:val="none" w:sz="0" w:space="0" w:color="auto"/>
                <w:right w:val="none" w:sz="0" w:space="0" w:color="auto"/>
              </w:divBdr>
              <w:divsChild>
                <w:div w:id="1385328608">
                  <w:marLeft w:val="0"/>
                  <w:marRight w:val="0"/>
                  <w:marTop w:val="0"/>
                  <w:marBottom w:val="0"/>
                  <w:divBdr>
                    <w:top w:val="none" w:sz="0" w:space="0" w:color="auto"/>
                    <w:left w:val="none" w:sz="0" w:space="0" w:color="auto"/>
                    <w:bottom w:val="none" w:sz="0" w:space="0" w:color="auto"/>
                    <w:right w:val="none" w:sz="0" w:space="0" w:color="auto"/>
                  </w:divBdr>
                </w:div>
                <w:div w:id="665760">
                  <w:marLeft w:val="0"/>
                  <w:marRight w:val="0"/>
                  <w:marTop w:val="0"/>
                  <w:marBottom w:val="0"/>
                  <w:divBdr>
                    <w:top w:val="none" w:sz="0" w:space="0" w:color="auto"/>
                    <w:left w:val="none" w:sz="0" w:space="0" w:color="auto"/>
                    <w:bottom w:val="none" w:sz="0" w:space="0" w:color="auto"/>
                    <w:right w:val="none" w:sz="0" w:space="0" w:color="auto"/>
                  </w:divBdr>
                </w:div>
                <w:div w:id="90123431">
                  <w:marLeft w:val="0"/>
                  <w:marRight w:val="0"/>
                  <w:marTop w:val="0"/>
                  <w:marBottom w:val="0"/>
                  <w:divBdr>
                    <w:top w:val="none" w:sz="0" w:space="0" w:color="auto"/>
                    <w:left w:val="none" w:sz="0" w:space="0" w:color="auto"/>
                    <w:bottom w:val="none" w:sz="0" w:space="0" w:color="auto"/>
                    <w:right w:val="none" w:sz="0" w:space="0" w:color="auto"/>
                  </w:divBdr>
                </w:div>
                <w:div w:id="384447908">
                  <w:marLeft w:val="0"/>
                  <w:marRight w:val="0"/>
                  <w:marTop w:val="0"/>
                  <w:marBottom w:val="0"/>
                  <w:divBdr>
                    <w:top w:val="none" w:sz="0" w:space="0" w:color="auto"/>
                    <w:left w:val="none" w:sz="0" w:space="0" w:color="auto"/>
                    <w:bottom w:val="none" w:sz="0" w:space="0" w:color="auto"/>
                    <w:right w:val="none" w:sz="0" w:space="0" w:color="auto"/>
                  </w:divBdr>
                </w:div>
                <w:div w:id="1808817550">
                  <w:marLeft w:val="0"/>
                  <w:marRight w:val="0"/>
                  <w:marTop w:val="0"/>
                  <w:marBottom w:val="0"/>
                  <w:divBdr>
                    <w:top w:val="none" w:sz="0" w:space="0" w:color="auto"/>
                    <w:left w:val="none" w:sz="0" w:space="0" w:color="auto"/>
                    <w:bottom w:val="none" w:sz="0" w:space="0" w:color="auto"/>
                    <w:right w:val="none" w:sz="0" w:space="0" w:color="auto"/>
                  </w:divBdr>
                </w:div>
                <w:div w:id="904803183">
                  <w:marLeft w:val="0"/>
                  <w:marRight w:val="0"/>
                  <w:marTop w:val="0"/>
                  <w:marBottom w:val="0"/>
                  <w:divBdr>
                    <w:top w:val="none" w:sz="0" w:space="0" w:color="auto"/>
                    <w:left w:val="none" w:sz="0" w:space="0" w:color="auto"/>
                    <w:bottom w:val="none" w:sz="0" w:space="0" w:color="auto"/>
                    <w:right w:val="none" w:sz="0" w:space="0" w:color="auto"/>
                  </w:divBdr>
                </w:div>
                <w:div w:id="1207714237">
                  <w:marLeft w:val="0"/>
                  <w:marRight w:val="0"/>
                  <w:marTop w:val="0"/>
                  <w:marBottom w:val="0"/>
                  <w:divBdr>
                    <w:top w:val="none" w:sz="0" w:space="0" w:color="auto"/>
                    <w:left w:val="none" w:sz="0" w:space="0" w:color="auto"/>
                    <w:bottom w:val="none" w:sz="0" w:space="0" w:color="auto"/>
                    <w:right w:val="none" w:sz="0" w:space="0" w:color="auto"/>
                  </w:divBdr>
                </w:div>
                <w:div w:id="152070350">
                  <w:marLeft w:val="0"/>
                  <w:marRight w:val="0"/>
                  <w:marTop w:val="0"/>
                  <w:marBottom w:val="0"/>
                  <w:divBdr>
                    <w:top w:val="none" w:sz="0" w:space="0" w:color="auto"/>
                    <w:left w:val="none" w:sz="0" w:space="0" w:color="auto"/>
                    <w:bottom w:val="none" w:sz="0" w:space="0" w:color="auto"/>
                    <w:right w:val="none" w:sz="0" w:space="0" w:color="auto"/>
                  </w:divBdr>
                </w:div>
                <w:div w:id="1369724212">
                  <w:marLeft w:val="0"/>
                  <w:marRight w:val="0"/>
                  <w:marTop w:val="0"/>
                  <w:marBottom w:val="0"/>
                  <w:divBdr>
                    <w:top w:val="none" w:sz="0" w:space="0" w:color="auto"/>
                    <w:left w:val="none" w:sz="0" w:space="0" w:color="auto"/>
                    <w:bottom w:val="none" w:sz="0" w:space="0" w:color="auto"/>
                    <w:right w:val="none" w:sz="0" w:space="0" w:color="auto"/>
                  </w:divBdr>
                </w:div>
                <w:div w:id="1082989601">
                  <w:marLeft w:val="0"/>
                  <w:marRight w:val="0"/>
                  <w:marTop w:val="0"/>
                  <w:marBottom w:val="0"/>
                  <w:divBdr>
                    <w:top w:val="none" w:sz="0" w:space="0" w:color="auto"/>
                    <w:left w:val="none" w:sz="0" w:space="0" w:color="auto"/>
                    <w:bottom w:val="none" w:sz="0" w:space="0" w:color="auto"/>
                    <w:right w:val="none" w:sz="0" w:space="0" w:color="auto"/>
                  </w:divBdr>
                </w:div>
                <w:div w:id="575945779">
                  <w:marLeft w:val="0"/>
                  <w:marRight w:val="0"/>
                  <w:marTop w:val="0"/>
                  <w:marBottom w:val="0"/>
                  <w:divBdr>
                    <w:top w:val="none" w:sz="0" w:space="0" w:color="auto"/>
                    <w:left w:val="none" w:sz="0" w:space="0" w:color="auto"/>
                    <w:bottom w:val="none" w:sz="0" w:space="0" w:color="auto"/>
                    <w:right w:val="none" w:sz="0" w:space="0" w:color="auto"/>
                  </w:divBdr>
                </w:div>
                <w:div w:id="2091732499">
                  <w:marLeft w:val="0"/>
                  <w:marRight w:val="0"/>
                  <w:marTop w:val="0"/>
                  <w:marBottom w:val="0"/>
                  <w:divBdr>
                    <w:top w:val="none" w:sz="0" w:space="0" w:color="auto"/>
                    <w:left w:val="none" w:sz="0" w:space="0" w:color="auto"/>
                    <w:bottom w:val="none" w:sz="0" w:space="0" w:color="auto"/>
                    <w:right w:val="none" w:sz="0" w:space="0" w:color="auto"/>
                  </w:divBdr>
                </w:div>
                <w:div w:id="1026827404">
                  <w:marLeft w:val="0"/>
                  <w:marRight w:val="0"/>
                  <w:marTop w:val="0"/>
                  <w:marBottom w:val="0"/>
                  <w:divBdr>
                    <w:top w:val="none" w:sz="0" w:space="0" w:color="auto"/>
                    <w:left w:val="none" w:sz="0" w:space="0" w:color="auto"/>
                    <w:bottom w:val="none" w:sz="0" w:space="0" w:color="auto"/>
                    <w:right w:val="none" w:sz="0" w:space="0" w:color="auto"/>
                  </w:divBdr>
                </w:div>
                <w:div w:id="728572035">
                  <w:marLeft w:val="0"/>
                  <w:marRight w:val="0"/>
                  <w:marTop w:val="0"/>
                  <w:marBottom w:val="0"/>
                  <w:divBdr>
                    <w:top w:val="none" w:sz="0" w:space="0" w:color="auto"/>
                    <w:left w:val="none" w:sz="0" w:space="0" w:color="auto"/>
                    <w:bottom w:val="none" w:sz="0" w:space="0" w:color="auto"/>
                    <w:right w:val="none" w:sz="0" w:space="0" w:color="auto"/>
                  </w:divBdr>
                </w:div>
                <w:div w:id="1340545430">
                  <w:marLeft w:val="0"/>
                  <w:marRight w:val="0"/>
                  <w:marTop w:val="0"/>
                  <w:marBottom w:val="0"/>
                  <w:divBdr>
                    <w:top w:val="none" w:sz="0" w:space="0" w:color="auto"/>
                    <w:left w:val="none" w:sz="0" w:space="0" w:color="auto"/>
                    <w:bottom w:val="none" w:sz="0" w:space="0" w:color="auto"/>
                    <w:right w:val="none" w:sz="0" w:space="0" w:color="auto"/>
                  </w:divBdr>
                </w:div>
                <w:div w:id="251205324">
                  <w:marLeft w:val="0"/>
                  <w:marRight w:val="0"/>
                  <w:marTop w:val="0"/>
                  <w:marBottom w:val="0"/>
                  <w:divBdr>
                    <w:top w:val="none" w:sz="0" w:space="0" w:color="auto"/>
                    <w:left w:val="none" w:sz="0" w:space="0" w:color="auto"/>
                    <w:bottom w:val="none" w:sz="0" w:space="0" w:color="auto"/>
                    <w:right w:val="none" w:sz="0" w:space="0" w:color="auto"/>
                  </w:divBdr>
                </w:div>
                <w:div w:id="550312707">
                  <w:marLeft w:val="0"/>
                  <w:marRight w:val="0"/>
                  <w:marTop w:val="0"/>
                  <w:marBottom w:val="0"/>
                  <w:divBdr>
                    <w:top w:val="none" w:sz="0" w:space="0" w:color="auto"/>
                    <w:left w:val="none" w:sz="0" w:space="0" w:color="auto"/>
                    <w:bottom w:val="none" w:sz="0" w:space="0" w:color="auto"/>
                    <w:right w:val="none" w:sz="0" w:space="0" w:color="auto"/>
                  </w:divBdr>
                </w:div>
                <w:div w:id="1514877384">
                  <w:marLeft w:val="0"/>
                  <w:marRight w:val="0"/>
                  <w:marTop w:val="0"/>
                  <w:marBottom w:val="0"/>
                  <w:divBdr>
                    <w:top w:val="none" w:sz="0" w:space="0" w:color="auto"/>
                    <w:left w:val="none" w:sz="0" w:space="0" w:color="auto"/>
                    <w:bottom w:val="none" w:sz="0" w:space="0" w:color="auto"/>
                    <w:right w:val="none" w:sz="0" w:space="0" w:color="auto"/>
                  </w:divBdr>
                </w:div>
                <w:div w:id="1356690213">
                  <w:marLeft w:val="0"/>
                  <w:marRight w:val="0"/>
                  <w:marTop w:val="0"/>
                  <w:marBottom w:val="0"/>
                  <w:divBdr>
                    <w:top w:val="none" w:sz="0" w:space="0" w:color="auto"/>
                    <w:left w:val="none" w:sz="0" w:space="0" w:color="auto"/>
                    <w:bottom w:val="none" w:sz="0" w:space="0" w:color="auto"/>
                    <w:right w:val="none" w:sz="0" w:space="0" w:color="auto"/>
                  </w:divBdr>
                </w:div>
                <w:div w:id="87770884">
                  <w:marLeft w:val="0"/>
                  <w:marRight w:val="0"/>
                  <w:marTop w:val="0"/>
                  <w:marBottom w:val="0"/>
                  <w:divBdr>
                    <w:top w:val="none" w:sz="0" w:space="0" w:color="auto"/>
                    <w:left w:val="none" w:sz="0" w:space="0" w:color="auto"/>
                    <w:bottom w:val="none" w:sz="0" w:space="0" w:color="auto"/>
                    <w:right w:val="none" w:sz="0" w:space="0" w:color="auto"/>
                  </w:divBdr>
                </w:div>
                <w:div w:id="1869296095">
                  <w:marLeft w:val="0"/>
                  <w:marRight w:val="0"/>
                  <w:marTop w:val="0"/>
                  <w:marBottom w:val="0"/>
                  <w:divBdr>
                    <w:top w:val="none" w:sz="0" w:space="0" w:color="auto"/>
                    <w:left w:val="none" w:sz="0" w:space="0" w:color="auto"/>
                    <w:bottom w:val="none" w:sz="0" w:space="0" w:color="auto"/>
                    <w:right w:val="none" w:sz="0" w:space="0" w:color="auto"/>
                  </w:divBdr>
                </w:div>
                <w:div w:id="1222598896">
                  <w:marLeft w:val="0"/>
                  <w:marRight w:val="0"/>
                  <w:marTop w:val="0"/>
                  <w:marBottom w:val="0"/>
                  <w:divBdr>
                    <w:top w:val="none" w:sz="0" w:space="0" w:color="auto"/>
                    <w:left w:val="none" w:sz="0" w:space="0" w:color="auto"/>
                    <w:bottom w:val="none" w:sz="0" w:space="0" w:color="auto"/>
                    <w:right w:val="none" w:sz="0" w:space="0" w:color="auto"/>
                  </w:divBdr>
                </w:div>
                <w:div w:id="2042509939">
                  <w:marLeft w:val="0"/>
                  <w:marRight w:val="0"/>
                  <w:marTop w:val="0"/>
                  <w:marBottom w:val="0"/>
                  <w:divBdr>
                    <w:top w:val="none" w:sz="0" w:space="0" w:color="auto"/>
                    <w:left w:val="none" w:sz="0" w:space="0" w:color="auto"/>
                    <w:bottom w:val="none" w:sz="0" w:space="0" w:color="auto"/>
                    <w:right w:val="none" w:sz="0" w:space="0" w:color="auto"/>
                  </w:divBdr>
                </w:div>
                <w:div w:id="1922374422">
                  <w:marLeft w:val="0"/>
                  <w:marRight w:val="0"/>
                  <w:marTop w:val="0"/>
                  <w:marBottom w:val="0"/>
                  <w:divBdr>
                    <w:top w:val="none" w:sz="0" w:space="0" w:color="auto"/>
                    <w:left w:val="none" w:sz="0" w:space="0" w:color="auto"/>
                    <w:bottom w:val="none" w:sz="0" w:space="0" w:color="auto"/>
                    <w:right w:val="none" w:sz="0" w:space="0" w:color="auto"/>
                  </w:divBdr>
                </w:div>
                <w:div w:id="962887665">
                  <w:marLeft w:val="0"/>
                  <w:marRight w:val="0"/>
                  <w:marTop w:val="0"/>
                  <w:marBottom w:val="0"/>
                  <w:divBdr>
                    <w:top w:val="none" w:sz="0" w:space="0" w:color="auto"/>
                    <w:left w:val="none" w:sz="0" w:space="0" w:color="auto"/>
                    <w:bottom w:val="none" w:sz="0" w:space="0" w:color="auto"/>
                    <w:right w:val="none" w:sz="0" w:space="0" w:color="auto"/>
                  </w:divBdr>
                </w:div>
                <w:div w:id="1610813623">
                  <w:marLeft w:val="0"/>
                  <w:marRight w:val="0"/>
                  <w:marTop w:val="0"/>
                  <w:marBottom w:val="0"/>
                  <w:divBdr>
                    <w:top w:val="none" w:sz="0" w:space="0" w:color="auto"/>
                    <w:left w:val="none" w:sz="0" w:space="0" w:color="auto"/>
                    <w:bottom w:val="none" w:sz="0" w:space="0" w:color="auto"/>
                    <w:right w:val="none" w:sz="0" w:space="0" w:color="auto"/>
                  </w:divBdr>
                </w:div>
                <w:div w:id="927269233">
                  <w:marLeft w:val="0"/>
                  <w:marRight w:val="0"/>
                  <w:marTop w:val="0"/>
                  <w:marBottom w:val="0"/>
                  <w:divBdr>
                    <w:top w:val="none" w:sz="0" w:space="0" w:color="auto"/>
                    <w:left w:val="none" w:sz="0" w:space="0" w:color="auto"/>
                    <w:bottom w:val="none" w:sz="0" w:space="0" w:color="auto"/>
                    <w:right w:val="none" w:sz="0" w:space="0" w:color="auto"/>
                  </w:divBdr>
                </w:div>
                <w:div w:id="1452240254">
                  <w:marLeft w:val="0"/>
                  <w:marRight w:val="0"/>
                  <w:marTop w:val="0"/>
                  <w:marBottom w:val="0"/>
                  <w:divBdr>
                    <w:top w:val="none" w:sz="0" w:space="0" w:color="auto"/>
                    <w:left w:val="none" w:sz="0" w:space="0" w:color="auto"/>
                    <w:bottom w:val="none" w:sz="0" w:space="0" w:color="auto"/>
                    <w:right w:val="none" w:sz="0" w:space="0" w:color="auto"/>
                  </w:divBdr>
                </w:div>
                <w:div w:id="428081892">
                  <w:marLeft w:val="0"/>
                  <w:marRight w:val="0"/>
                  <w:marTop w:val="0"/>
                  <w:marBottom w:val="0"/>
                  <w:divBdr>
                    <w:top w:val="none" w:sz="0" w:space="0" w:color="auto"/>
                    <w:left w:val="none" w:sz="0" w:space="0" w:color="auto"/>
                    <w:bottom w:val="none" w:sz="0" w:space="0" w:color="auto"/>
                    <w:right w:val="none" w:sz="0" w:space="0" w:color="auto"/>
                  </w:divBdr>
                </w:div>
                <w:div w:id="1699965584">
                  <w:marLeft w:val="0"/>
                  <w:marRight w:val="0"/>
                  <w:marTop w:val="0"/>
                  <w:marBottom w:val="0"/>
                  <w:divBdr>
                    <w:top w:val="none" w:sz="0" w:space="0" w:color="auto"/>
                    <w:left w:val="none" w:sz="0" w:space="0" w:color="auto"/>
                    <w:bottom w:val="none" w:sz="0" w:space="0" w:color="auto"/>
                    <w:right w:val="none" w:sz="0" w:space="0" w:color="auto"/>
                  </w:divBdr>
                </w:div>
                <w:div w:id="968628154">
                  <w:marLeft w:val="0"/>
                  <w:marRight w:val="0"/>
                  <w:marTop w:val="0"/>
                  <w:marBottom w:val="0"/>
                  <w:divBdr>
                    <w:top w:val="none" w:sz="0" w:space="0" w:color="auto"/>
                    <w:left w:val="none" w:sz="0" w:space="0" w:color="auto"/>
                    <w:bottom w:val="none" w:sz="0" w:space="0" w:color="auto"/>
                    <w:right w:val="none" w:sz="0" w:space="0" w:color="auto"/>
                  </w:divBdr>
                </w:div>
                <w:div w:id="1000886324">
                  <w:marLeft w:val="0"/>
                  <w:marRight w:val="0"/>
                  <w:marTop w:val="0"/>
                  <w:marBottom w:val="0"/>
                  <w:divBdr>
                    <w:top w:val="none" w:sz="0" w:space="0" w:color="auto"/>
                    <w:left w:val="none" w:sz="0" w:space="0" w:color="auto"/>
                    <w:bottom w:val="none" w:sz="0" w:space="0" w:color="auto"/>
                    <w:right w:val="none" w:sz="0" w:space="0" w:color="auto"/>
                  </w:divBdr>
                </w:div>
                <w:div w:id="1768577341">
                  <w:marLeft w:val="0"/>
                  <w:marRight w:val="0"/>
                  <w:marTop w:val="0"/>
                  <w:marBottom w:val="0"/>
                  <w:divBdr>
                    <w:top w:val="none" w:sz="0" w:space="0" w:color="auto"/>
                    <w:left w:val="none" w:sz="0" w:space="0" w:color="auto"/>
                    <w:bottom w:val="none" w:sz="0" w:space="0" w:color="auto"/>
                    <w:right w:val="none" w:sz="0" w:space="0" w:color="auto"/>
                  </w:divBdr>
                </w:div>
                <w:div w:id="770051123">
                  <w:marLeft w:val="0"/>
                  <w:marRight w:val="0"/>
                  <w:marTop w:val="0"/>
                  <w:marBottom w:val="0"/>
                  <w:divBdr>
                    <w:top w:val="none" w:sz="0" w:space="0" w:color="auto"/>
                    <w:left w:val="none" w:sz="0" w:space="0" w:color="auto"/>
                    <w:bottom w:val="none" w:sz="0" w:space="0" w:color="auto"/>
                    <w:right w:val="none" w:sz="0" w:space="0" w:color="auto"/>
                  </w:divBdr>
                </w:div>
                <w:div w:id="463501449">
                  <w:marLeft w:val="0"/>
                  <w:marRight w:val="0"/>
                  <w:marTop w:val="0"/>
                  <w:marBottom w:val="0"/>
                  <w:divBdr>
                    <w:top w:val="none" w:sz="0" w:space="0" w:color="auto"/>
                    <w:left w:val="none" w:sz="0" w:space="0" w:color="auto"/>
                    <w:bottom w:val="none" w:sz="0" w:space="0" w:color="auto"/>
                    <w:right w:val="none" w:sz="0" w:space="0" w:color="auto"/>
                  </w:divBdr>
                </w:div>
                <w:div w:id="1459757746">
                  <w:marLeft w:val="0"/>
                  <w:marRight w:val="0"/>
                  <w:marTop w:val="0"/>
                  <w:marBottom w:val="0"/>
                  <w:divBdr>
                    <w:top w:val="none" w:sz="0" w:space="0" w:color="auto"/>
                    <w:left w:val="none" w:sz="0" w:space="0" w:color="auto"/>
                    <w:bottom w:val="none" w:sz="0" w:space="0" w:color="auto"/>
                    <w:right w:val="none" w:sz="0" w:space="0" w:color="auto"/>
                  </w:divBdr>
                </w:div>
                <w:div w:id="498038773">
                  <w:marLeft w:val="0"/>
                  <w:marRight w:val="0"/>
                  <w:marTop w:val="0"/>
                  <w:marBottom w:val="0"/>
                  <w:divBdr>
                    <w:top w:val="none" w:sz="0" w:space="0" w:color="auto"/>
                    <w:left w:val="none" w:sz="0" w:space="0" w:color="auto"/>
                    <w:bottom w:val="none" w:sz="0" w:space="0" w:color="auto"/>
                    <w:right w:val="none" w:sz="0" w:space="0" w:color="auto"/>
                  </w:divBdr>
                </w:div>
                <w:div w:id="399407392">
                  <w:marLeft w:val="0"/>
                  <w:marRight w:val="0"/>
                  <w:marTop w:val="0"/>
                  <w:marBottom w:val="0"/>
                  <w:divBdr>
                    <w:top w:val="none" w:sz="0" w:space="0" w:color="auto"/>
                    <w:left w:val="none" w:sz="0" w:space="0" w:color="auto"/>
                    <w:bottom w:val="none" w:sz="0" w:space="0" w:color="auto"/>
                    <w:right w:val="none" w:sz="0" w:space="0" w:color="auto"/>
                  </w:divBdr>
                </w:div>
                <w:div w:id="1807237122">
                  <w:marLeft w:val="0"/>
                  <w:marRight w:val="0"/>
                  <w:marTop w:val="0"/>
                  <w:marBottom w:val="0"/>
                  <w:divBdr>
                    <w:top w:val="none" w:sz="0" w:space="0" w:color="auto"/>
                    <w:left w:val="none" w:sz="0" w:space="0" w:color="auto"/>
                    <w:bottom w:val="none" w:sz="0" w:space="0" w:color="auto"/>
                    <w:right w:val="none" w:sz="0" w:space="0" w:color="auto"/>
                  </w:divBdr>
                </w:div>
                <w:div w:id="522862694">
                  <w:marLeft w:val="0"/>
                  <w:marRight w:val="0"/>
                  <w:marTop w:val="0"/>
                  <w:marBottom w:val="0"/>
                  <w:divBdr>
                    <w:top w:val="none" w:sz="0" w:space="0" w:color="auto"/>
                    <w:left w:val="none" w:sz="0" w:space="0" w:color="auto"/>
                    <w:bottom w:val="none" w:sz="0" w:space="0" w:color="auto"/>
                    <w:right w:val="none" w:sz="0" w:space="0" w:color="auto"/>
                  </w:divBdr>
                </w:div>
                <w:div w:id="698235926">
                  <w:marLeft w:val="0"/>
                  <w:marRight w:val="0"/>
                  <w:marTop w:val="0"/>
                  <w:marBottom w:val="0"/>
                  <w:divBdr>
                    <w:top w:val="none" w:sz="0" w:space="0" w:color="auto"/>
                    <w:left w:val="none" w:sz="0" w:space="0" w:color="auto"/>
                    <w:bottom w:val="none" w:sz="0" w:space="0" w:color="auto"/>
                    <w:right w:val="none" w:sz="0" w:space="0" w:color="auto"/>
                  </w:divBdr>
                </w:div>
                <w:div w:id="904535830">
                  <w:marLeft w:val="0"/>
                  <w:marRight w:val="0"/>
                  <w:marTop w:val="0"/>
                  <w:marBottom w:val="0"/>
                  <w:divBdr>
                    <w:top w:val="none" w:sz="0" w:space="0" w:color="auto"/>
                    <w:left w:val="none" w:sz="0" w:space="0" w:color="auto"/>
                    <w:bottom w:val="none" w:sz="0" w:space="0" w:color="auto"/>
                    <w:right w:val="none" w:sz="0" w:space="0" w:color="auto"/>
                  </w:divBdr>
                </w:div>
                <w:div w:id="70891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34672">
          <w:marLeft w:val="0"/>
          <w:marRight w:val="0"/>
          <w:marTop w:val="0"/>
          <w:marBottom w:val="0"/>
          <w:divBdr>
            <w:top w:val="none" w:sz="0" w:space="0" w:color="auto"/>
            <w:left w:val="none" w:sz="0" w:space="0" w:color="auto"/>
            <w:bottom w:val="none" w:sz="0" w:space="0" w:color="auto"/>
            <w:right w:val="none" w:sz="0" w:space="0" w:color="auto"/>
          </w:divBdr>
        </w:div>
        <w:div w:id="943461449">
          <w:marLeft w:val="0"/>
          <w:marRight w:val="0"/>
          <w:marTop w:val="0"/>
          <w:marBottom w:val="0"/>
          <w:divBdr>
            <w:top w:val="none" w:sz="0" w:space="0" w:color="auto"/>
            <w:left w:val="none" w:sz="0" w:space="0" w:color="auto"/>
            <w:bottom w:val="none" w:sz="0" w:space="0" w:color="auto"/>
            <w:right w:val="none" w:sz="0" w:space="0" w:color="auto"/>
          </w:divBdr>
        </w:div>
        <w:div w:id="908272635">
          <w:marLeft w:val="0"/>
          <w:marRight w:val="0"/>
          <w:marTop w:val="0"/>
          <w:marBottom w:val="0"/>
          <w:divBdr>
            <w:top w:val="none" w:sz="0" w:space="0" w:color="auto"/>
            <w:left w:val="none" w:sz="0" w:space="0" w:color="auto"/>
            <w:bottom w:val="none" w:sz="0" w:space="0" w:color="auto"/>
            <w:right w:val="none" w:sz="0" w:space="0" w:color="auto"/>
          </w:divBdr>
        </w:div>
        <w:div w:id="1434403263">
          <w:marLeft w:val="0"/>
          <w:marRight w:val="0"/>
          <w:marTop w:val="0"/>
          <w:marBottom w:val="0"/>
          <w:divBdr>
            <w:top w:val="none" w:sz="0" w:space="0" w:color="auto"/>
            <w:left w:val="none" w:sz="0" w:space="0" w:color="auto"/>
            <w:bottom w:val="none" w:sz="0" w:space="0" w:color="auto"/>
            <w:right w:val="none" w:sz="0" w:space="0" w:color="auto"/>
          </w:divBdr>
        </w:div>
        <w:div w:id="1419593930">
          <w:marLeft w:val="0"/>
          <w:marRight w:val="0"/>
          <w:marTop w:val="0"/>
          <w:marBottom w:val="0"/>
          <w:divBdr>
            <w:top w:val="none" w:sz="0" w:space="0" w:color="auto"/>
            <w:left w:val="none" w:sz="0" w:space="0" w:color="auto"/>
            <w:bottom w:val="none" w:sz="0" w:space="0" w:color="auto"/>
            <w:right w:val="none" w:sz="0" w:space="0" w:color="auto"/>
          </w:divBdr>
        </w:div>
        <w:div w:id="267736234">
          <w:marLeft w:val="0"/>
          <w:marRight w:val="0"/>
          <w:marTop w:val="0"/>
          <w:marBottom w:val="0"/>
          <w:divBdr>
            <w:top w:val="none" w:sz="0" w:space="0" w:color="auto"/>
            <w:left w:val="none" w:sz="0" w:space="0" w:color="auto"/>
            <w:bottom w:val="none" w:sz="0" w:space="0" w:color="auto"/>
            <w:right w:val="none" w:sz="0" w:space="0" w:color="auto"/>
          </w:divBdr>
        </w:div>
        <w:div w:id="830370330">
          <w:marLeft w:val="0"/>
          <w:marRight w:val="0"/>
          <w:marTop w:val="0"/>
          <w:marBottom w:val="0"/>
          <w:divBdr>
            <w:top w:val="none" w:sz="0" w:space="0" w:color="auto"/>
            <w:left w:val="none" w:sz="0" w:space="0" w:color="auto"/>
            <w:bottom w:val="none" w:sz="0" w:space="0" w:color="auto"/>
            <w:right w:val="none" w:sz="0" w:space="0" w:color="auto"/>
          </w:divBdr>
        </w:div>
        <w:div w:id="1777867522">
          <w:marLeft w:val="0"/>
          <w:marRight w:val="0"/>
          <w:marTop w:val="0"/>
          <w:marBottom w:val="0"/>
          <w:divBdr>
            <w:top w:val="none" w:sz="0" w:space="0" w:color="auto"/>
            <w:left w:val="none" w:sz="0" w:space="0" w:color="auto"/>
            <w:bottom w:val="none" w:sz="0" w:space="0" w:color="auto"/>
            <w:right w:val="none" w:sz="0" w:space="0" w:color="auto"/>
          </w:divBdr>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6812503">
      <w:bodyDiv w:val="1"/>
      <w:marLeft w:val="0"/>
      <w:marRight w:val="0"/>
      <w:marTop w:val="0"/>
      <w:marBottom w:val="0"/>
      <w:divBdr>
        <w:top w:val="none" w:sz="0" w:space="0" w:color="auto"/>
        <w:left w:val="none" w:sz="0" w:space="0" w:color="auto"/>
        <w:bottom w:val="none" w:sz="0" w:space="0" w:color="auto"/>
        <w:right w:val="none" w:sz="0" w:space="0" w:color="auto"/>
      </w:divBdr>
      <w:divsChild>
        <w:div w:id="1998222811">
          <w:marLeft w:val="0"/>
          <w:marRight w:val="0"/>
          <w:marTop w:val="0"/>
          <w:marBottom w:val="0"/>
          <w:divBdr>
            <w:top w:val="none" w:sz="0" w:space="0" w:color="auto"/>
            <w:left w:val="none" w:sz="0" w:space="0" w:color="auto"/>
            <w:bottom w:val="none" w:sz="0" w:space="0" w:color="auto"/>
            <w:right w:val="none" w:sz="0" w:space="0" w:color="auto"/>
          </w:divBdr>
        </w:div>
        <w:div w:id="2115830149">
          <w:marLeft w:val="0"/>
          <w:marRight w:val="0"/>
          <w:marTop w:val="0"/>
          <w:marBottom w:val="0"/>
          <w:divBdr>
            <w:top w:val="none" w:sz="0" w:space="0" w:color="auto"/>
            <w:left w:val="none" w:sz="0" w:space="0" w:color="auto"/>
            <w:bottom w:val="none" w:sz="0" w:space="0" w:color="auto"/>
            <w:right w:val="none" w:sz="0" w:space="0" w:color="auto"/>
          </w:divBdr>
        </w:div>
        <w:div w:id="1425612091">
          <w:marLeft w:val="0"/>
          <w:marRight w:val="0"/>
          <w:marTop w:val="0"/>
          <w:marBottom w:val="0"/>
          <w:divBdr>
            <w:top w:val="none" w:sz="0" w:space="0" w:color="auto"/>
            <w:left w:val="none" w:sz="0" w:space="0" w:color="auto"/>
            <w:bottom w:val="none" w:sz="0" w:space="0" w:color="auto"/>
            <w:right w:val="none" w:sz="0" w:space="0" w:color="auto"/>
          </w:divBdr>
        </w:div>
        <w:div w:id="2015642763">
          <w:marLeft w:val="0"/>
          <w:marRight w:val="0"/>
          <w:marTop w:val="0"/>
          <w:marBottom w:val="0"/>
          <w:divBdr>
            <w:top w:val="none" w:sz="0" w:space="0" w:color="auto"/>
            <w:left w:val="none" w:sz="0" w:space="0" w:color="auto"/>
            <w:bottom w:val="none" w:sz="0" w:space="0" w:color="auto"/>
            <w:right w:val="none" w:sz="0" w:space="0" w:color="auto"/>
          </w:divBdr>
        </w:div>
        <w:div w:id="719672138">
          <w:marLeft w:val="0"/>
          <w:marRight w:val="0"/>
          <w:marTop w:val="0"/>
          <w:marBottom w:val="0"/>
          <w:divBdr>
            <w:top w:val="none" w:sz="0" w:space="0" w:color="auto"/>
            <w:left w:val="none" w:sz="0" w:space="0" w:color="auto"/>
            <w:bottom w:val="none" w:sz="0" w:space="0" w:color="auto"/>
            <w:right w:val="none" w:sz="0" w:space="0" w:color="auto"/>
          </w:divBdr>
        </w:div>
        <w:div w:id="1555658993">
          <w:marLeft w:val="0"/>
          <w:marRight w:val="0"/>
          <w:marTop w:val="0"/>
          <w:marBottom w:val="0"/>
          <w:divBdr>
            <w:top w:val="none" w:sz="0" w:space="0" w:color="auto"/>
            <w:left w:val="none" w:sz="0" w:space="0" w:color="auto"/>
            <w:bottom w:val="none" w:sz="0" w:space="0" w:color="auto"/>
            <w:right w:val="none" w:sz="0" w:space="0" w:color="auto"/>
          </w:divBdr>
        </w:div>
        <w:div w:id="1575625700">
          <w:marLeft w:val="0"/>
          <w:marRight w:val="0"/>
          <w:marTop w:val="0"/>
          <w:marBottom w:val="0"/>
          <w:divBdr>
            <w:top w:val="none" w:sz="0" w:space="0" w:color="auto"/>
            <w:left w:val="none" w:sz="0" w:space="0" w:color="auto"/>
            <w:bottom w:val="none" w:sz="0" w:space="0" w:color="auto"/>
            <w:right w:val="none" w:sz="0" w:space="0" w:color="auto"/>
          </w:divBdr>
        </w:div>
        <w:div w:id="1814561274">
          <w:marLeft w:val="0"/>
          <w:marRight w:val="0"/>
          <w:marTop w:val="0"/>
          <w:marBottom w:val="0"/>
          <w:divBdr>
            <w:top w:val="none" w:sz="0" w:space="0" w:color="auto"/>
            <w:left w:val="none" w:sz="0" w:space="0" w:color="auto"/>
            <w:bottom w:val="none" w:sz="0" w:space="0" w:color="auto"/>
            <w:right w:val="none" w:sz="0" w:space="0" w:color="auto"/>
          </w:divBdr>
        </w:div>
        <w:div w:id="1844930168">
          <w:marLeft w:val="0"/>
          <w:marRight w:val="0"/>
          <w:marTop w:val="0"/>
          <w:marBottom w:val="0"/>
          <w:divBdr>
            <w:top w:val="none" w:sz="0" w:space="0" w:color="auto"/>
            <w:left w:val="none" w:sz="0" w:space="0" w:color="auto"/>
            <w:bottom w:val="none" w:sz="0" w:space="0" w:color="auto"/>
            <w:right w:val="none" w:sz="0" w:space="0" w:color="auto"/>
          </w:divBdr>
        </w:div>
        <w:div w:id="578321734">
          <w:marLeft w:val="0"/>
          <w:marRight w:val="0"/>
          <w:marTop w:val="0"/>
          <w:marBottom w:val="0"/>
          <w:divBdr>
            <w:top w:val="none" w:sz="0" w:space="0" w:color="auto"/>
            <w:left w:val="none" w:sz="0" w:space="0" w:color="auto"/>
            <w:bottom w:val="none" w:sz="0" w:space="0" w:color="auto"/>
            <w:right w:val="none" w:sz="0" w:space="0" w:color="auto"/>
          </w:divBdr>
        </w:div>
        <w:div w:id="619459369">
          <w:marLeft w:val="0"/>
          <w:marRight w:val="0"/>
          <w:marTop w:val="0"/>
          <w:marBottom w:val="0"/>
          <w:divBdr>
            <w:top w:val="none" w:sz="0" w:space="0" w:color="auto"/>
            <w:left w:val="none" w:sz="0" w:space="0" w:color="auto"/>
            <w:bottom w:val="none" w:sz="0" w:space="0" w:color="auto"/>
            <w:right w:val="none" w:sz="0" w:space="0" w:color="auto"/>
          </w:divBdr>
        </w:div>
      </w:divsChild>
    </w:div>
    <w:div w:id="1350444318">
      <w:bodyDiv w:val="1"/>
      <w:marLeft w:val="0"/>
      <w:marRight w:val="0"/>
      <w:marTop w:val="0"/>
      <w:marBottom w:val="0"/>
      <w:divBdr>
        <w:top w:val="none" w:sz="0" w:space="0" w:color="auto"/>
        <w:left w:val="none" w:sz="0" w:space="0" w:color="auto"/>
        <w:bottom w:val="none" w:sz="0" w:space="0" w:color="auto"/>
        <w:right w:val="none" w:sz="0" w:space="0" w:color="auto"/>
      </w:divBdr>
      <w:divsChild>
        <w:div w:id="1314674707">
          <w:marLeft w:val="0"/>
          <w:marRight w:val="0"/>
          <w:marTop w:val="0"/>
          <w:marBottom w:val="0"/>
          <w:divBdr>
            <w:top w:val="none" w:sz="0" w:space="0" w:color="auto"/>
            <w:left w:val="none" w:sz="0" w:space="0" w:color="auto"/>
            <w:bottom w:val="none" w:sz="0" w:space="0" w:color="auto"/>
            <w:right w:val="none" w:sz="0" w:space="0" w:color="auto"/>
          </w:divBdr>
        </w:div>
        <w:div w:id="1991209573">
          <w:marLeft w:val="0"/>
          <w:marRight w:val="0"/>
          <w:marTop w:val="0"/>
          <w:marBottom w:val="0"/>
          <w:divBdr>
            <w:top w:val="none" w:sz="0" w:space="0" w:color="auto"/>
            <w:left w:val="none" w:sz="0" w:space="0" w:color="auto"/>
            <w:bottom w:val="none" w:sz="0" w:space="0" w:color="auto"/>
            <w:right w:val="none" w:sz="0" w:space="0" w:color="auto"/>
          </w:divBdr>
        </w:div>
        <w:div w:id="1107315716">
          <w:marLeft w:val="0"/>
          <w:marRight w:val="0"/>
          <w:marTop w:val="0"/>
          <w:marBottom w:val="0"/>
          <w:divBdr>
            <w:top w:val="none" w:sz="0" w:space="0" w:color="auto"/>
            <w:left w:val="none" w:sz="0" w:space="0" w:color="auto"/>
            <w:bottom w:val="none" w:sz="0" w:space="0" w:color="auto"/>
            <w:right w:val="none" w:sz="0" w:space="0" w:color="auto"/>
          </w:divBdr>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6956912">
      <w:bodyDiv w:val="1"/>
      <w:marLeft w:val="0"/>
      <w:marRight w:val="0"/>
      <w:marTop w:val="0"/>
      <w:marBottom w:val="0"/>
      <w:divBdr>
        <w:top w:val="none" w:sz="0" w:space="0" w:color="auto"/>
        <w:left w:val="none" w:sz="0" w:space="0" w:color="auto"/>
        <w:bottom w:val="none" w:sz="0" w:space="0" w:color="auto"/>
        <w:right w:val="none" w:sz="0" w:space="0" w:color="auto"/>
      </w:divBdr>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 w:id="1909420258">
      <w:bodyDiv w:val="1"/>
      <w:marLeft w:val="0"/>
      <w:marRight w:val="0"/>
      <w:marTop w:val="0"/>
      <w:marBottom w:val="0"/>
      <w:divBdr>
        <w:top w:val="none" w:sz="0" w:space="0" w:color="auto"/>
        <w:left w:val="none" w:sz="0" w:space="0" w:color="auto"/>
        <w:bottom w:val="none" w:sz="0" w:space="0" w:color="auto"/>
        <w:right w:val="none" w:sz="0" w:space="0" w:color="auto"/>
      </w:divBdr>
      <w:divsChild>
        <w:div w:id="328145568">
          <w:marLeft w:val="1267"/>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97C5D174-261E-4D11-BC22-B02A9D129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3</TotalTime>
  <Pages>9</Pages>
  <Words>4432</Words>
  <Characters>22208</Characters>
  <Application>Microsoft Office Word</Application>
  <DocSecurity>0</DocSecurity>
  <Lines>765</Lines>
  <Paragraphs>244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European Commission</Company>
  <LinksUpToDate>false</LinksUpToDate>
  <CharactersWithSpaces>26396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2015-06-17T11:56:00Z</cp:lastPrinted>
  <dcterms:created xsi:type="dcterms:W3CDTF">2015-10-27T10:06:00Z</dcterms:created>
  <dcterms:modified xsi:type="dcterms:W3CDTF">2015-11-02T11:54:00Z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